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88F01" w14:textId="77777777" w:rsidR="00E3659A" w:rsidRDefault="00E3659A" w:rsidP="00E3659A">
      <w:pPr>
        <w:pStyle w:val="NormalWeb"/>
        <w:spacing w:before="0" w:beforeAutospacing="0" w:after="0" w:afterAutospacing="0" w:line="276" w:lineRule="auto"/>
        <w:rPr>
          <w:b/>
          <w:bCs/>
          <w:sz w:val="26"/>
          <w:szCs w:val="26"/>
        </w:rPr>
      </w:pPr>
      <w:bookmarkStart w:id="0" w:name="_GoBack"/>
      <w:bookmarkEnd w:id="0"/>
    </w:p>
    <w:p w14:paraId="618F08B6" w14:textId="4FB913A5" w:rsidR="00E3659A" w:rsidRPr="00E3659A" w:rsidRDefault="00E3659A" w:rsidP="00E3659A">
      <w:pPr>
        <w:pStyle w:val="NormalWeb"/>
        <w:spacing w:before="0" w:beforeAutospacing="0" w:after="0" w:afterAutospacing="0" w:line="276" w:lineRule="auto"/>
        <w:rPr>
          <w:b/>
          <w:bCs/>
          <w:sz w:val="26"/>
          <w:szCs w:val="26"/>
        </w:rPr>
      </w:pPr>
      <w:r w:rsidRPr="00E3659A">
        <w:rPr>
          <w:b/>
          <w:bCs/>
          <w:sz w:val="26"/>
          <w:szCs w:val="26"/>
        </w:rPr>
        <w:t xml:space="preserve">Racial and Ethnic Disparities in Obstetric Outcomes and Process Measures in the Northwest Region of </w:t>
      </w:r>
      <w:r w:rsidR="00F5676C">
        <w:rPr>
          <w:b/>
          <w:bCs/>
          <w:sz w:val="26"/>
          <w:szCs w:val="26"/>
        </w:rPr>
        <w:t xml:space="preserve">the </w:t>
      </w:r>
      <w:r w:rsidRPr="00E3659A">
        <w:rPr>
          <w:b/>
          <w:bCs/>
          <w:sz w:val="26"/>
          <w:szCs w:val="26"/>
        </w:rPr>
        <w:t>United States</w:t>
      </w:r>
    </w:p>
    <w:p w14:paraId="01240011" w14:textId="77777777" w:rsidR="00E3659A" w:rsidRPr="002F2453" w:rsidRDefault="00E3659A" w:rsidP="00E3659A">
      <w:pPr>
        <w:rPr>
          <w:b/>
        </w:rPr>
      </w:pPr>
    </w:p>
    <w:p w14:paraId="5D233DC7" w14:textId="3DD3C792" w:rsidR="00E3659A" w:rsidRPr="002F2453" w:rsidRDefault="00E3659A" w:rsidP="00E3659A">
      <w:pPr>
        <w:pStyle w:val="NormalWeb"/>
        <w:spacing w:before="0" w:beforeAutospacing="0" w:after="0" w:afterAutospacing="0" w:line="360" w:lineRule="auto"/>
      </w:pPr>
      <w:r w:rsidRPr="00E3659A">
        <w:rPr>
          <w:rStyle w:val="Emphasis"/>
          <w:rFonts w:eastAsia="Calibri"/>
          <w:bCs/>
          <w:i w:val="0"/>
          <w:iCs/>
        </w:rPr>
        <w:t>Erin Rose Dwyer</w:t>
      </w:r>
      <w:r w:rsidRPr="002F2453">
        <w:rPr>
          <w:rStyle w:val="Emphasis"/>
          <w:rFonts w:eastAsia="Calibri"/>
          <w:bCs/>
        </w:rPr>
        <w:t xml:space="preserve"> (</w:t>
      </w:r>
      <w:r>
        <w:rPr>
          <w:rStyle w:val="Emphasis"/>
          <w:rFonts w:eastAsia="Calibri"/>
          <w:bCs/>
        </w:rPr>
        <w:t>1,</w:t>
      </w:r>
      <w:r w:rsidR="00AF3FC8">
        <w:rPr>
          <w:rStyle w:val="Emphasis"/>
          <w:rFonts w:eastAsia="Calibri"/>
          <w:bCs/>
        </w:rPr>
        <w:t xml:space="preserve"> </w:t>
      </w:r>
      <w:r w:rsidR="001B64F1">
        <w:rPr>
          <w:rStyle w:val="Emphasis"/>
          <w:rFonts w:eastAsia="Calibri"/>
          <w:bCs/>
        </w:rPr>
        <w:t>2</w:t>
      </w:r>
      <w:r w:rsidR="00AF3FC8">
        <w:rPr>
          <w:rStyle w:val="Emphasis"/>
          <w:rFonts w:eastAsia="Calibri"/>
          <w:bCs/>
        </w:rPr>
        <w:t xml:space="preserve">, </w:t>
      </w:r>
      <w:r w:rsidR="001B64F1">
        <w:rPr>
          <w:rStyle w:val="Emphasis"/>
          <w:rFonts w:eastAsia="Calibri"/>
          <w:bCs/>
        </w:rPr>
        <w:t>4</w:t>
      </w:r>
      <w:r w:rsidR="00AF3FC8">
        <w:rPr>
          <w:rStyle w:val="Emphasis"/>
          <w:rFonts w:eastAsia="Calibri"/>
          <w:bCs/>
        </w:rPr>
        <w:t>, 6</w:t>
      </w:r>
      <w:r w:rsidRPr="002F2453">
        <w:rPr>
          <w:rStyle w:val="Emphasis"/>
          <w:rFonts w:eastAsia="Calibri"/>
          <w:bCs/>
        </w:rPr>
        <w:t>)</w:t>
      </w:r>
      <w:r>
        <w:rPr>
          <w:rStyle w:val="Emphasis"/>
          <w:rFonts w:eastAsia="Calibri"/>
          <w:bCs/>
        </w:rPr>
        <w:t xml:space="preserve">, </w:t>
      </w:r>
      <w:r w:rsidRPr="00E3659A">
        <w:rPr>
          <w:rStyle w:val="Emphasis"/>
          <w:rFonts w:eastAsia="Calibri"/>
          <w:bCs/>
          <w:i w:val="0"/>
          <w:iCs/>
        </w:rPr>
        <w:t xml:space="preserve">Amelia </w:t>
      </w:r>
      <w:r w:rsidR="00913D06">
        <w:rPr>
          <w:rStyle w:val="Emphasis"/>
          <w:rFonts w:eastAsia="Calibri"/>
          <w:bCs/>
          <w:i w:val="0"/>
          <w:iCs/>
        </w:rPr>
        <w:t xml:space="preserve">R. </w:t>
      </w:r>
      <w:r w:rsidRPr="00E3659A">
        <w:rPr>
          <w:rStyle w:val="Emphasis"/>
          <w:rFonts w:eastAsia="Calibri"/>
          <w:bCs/>
          <w:i w:val="0"/>
          <w:iCs/>
        </w:rPr>
        <w:t>Ga</w:t>
      </w:r>
      <w:r>
        <w:rPr>
          <w:rStyle w:val="Emphasis"/>
          <w:rFonts w:eastAsia="Calibri"/>
          <w:bCs/>
          <w:i w:val="0"/>
          <w:iCs/>
        </w:rPr>
        <w:t xml:space="preserve">vin, PhD </w:t>
      </w:r>
      <w:r w:rsidRPr="00AC1D45">
        <w:rPr>
          <w:rStyle w:val="Emphasis"/>
          <w:rFonts w:eastAsia="Calibri"/>
          <w:bCs/>
        </w:rPr>
        <w:t>(</w:t>
      </w:r>
      <w:r w:rsidR="001B64F1">
        <w:rPr>
          <w:rStyle w:val="Emphasis"/>
          <w:rFonts w:eastAsia="Calibri"/>
          <w:bCs/>
        </w:rPr>
        <w:t>5</w:t>
      </w:r>
      <w:r w:rsidRPr="00AC1D45">
        <w:rPr>
          <w:rStyle w:val="Emphasis"/>
          <w:rFonts w:eastAsia="Calibri"/>
          <w:bCs/>
        </w:rPr>
        <w:t>)</w:t>
      </w:r>
      <w:r>
        <w:rPr>
          <w:rStyle w:val="Emphasis"/>
          <w:rFonts w:eastAsia="Calibri"/>
          <w:bCs/>
          <w:i w:val="0"/>
          <w:iCs/>
        </w:rPr>
        <w:t xml:space="preserve">, Daniel </w:t>
      </w:r>
      <w:r w:rsidR="00F5676C">
        <w:rPr>
          <w:rStyle w:val="Emphasis"/>
          <w:rFonts w:eastAsia="Calibri"/>
          <w:bCs/>
          <w:i w:val="0"/>
          <w:iCs/>
        </w:rPr>
        <w:t xml:space="preserve">A. </w:t>
      </w:r>
      <w:r>
        <w:rPr>
          <w:rStyle w:val="Emphasis"/>
          <w:rFonts w:eastAsia="Calibri"/>
          <w:bCs/>
          <w:i w:val="0"/>
          <w:iCs/>
        </w:rPr>
        <w:t xml:space="preserve">Enquobahrie, PhD, MD </w:t>
      </w:r>
      <w:r w:rsidRPr="00AC1D45">
        <w:rPr>
          <w:rStyle w:val="Emphasis"/>
          <w:rFonts w:eastAsia="Calibri"/>
          <w:bCs/>
        </w:rPr>
        <w:t>(</w:t>
      </w:r>
      <w:r w:rsidR="001B64F1">
        <w:rPr>
          <w:rStyle w:val="Emphasis"/>
          <w:rFonts w:eastAsia="Calibri"/>
          <w:bCs/>
        </w:rPr>
        <w:t>2</w:t>
      </w:r>
      <w:r w:rsidRPr="00AC1D45">
        <w:rPr>
          <w:rStyle w:val="Emphasis"/>
          <w:rFonts w:eastAsia="Calibri"/>
          <w:bCs/>
        </w:rPr>
        <w:t xml:space="preserve">, </w:t>
      </w:r>
      <w:r w:rsidR="001B64F1">
        <w:rPr>
          <w:rStyle w:val="Emphasis"/>
          <w:rFonts w:eastAsia="Calibri"/>
          <w:bCs/>
        </w:rPr>
        <w:t>4</w:t>
      </w:r>
      <w:r w:rsidRPr="00AC1D45">
        <w:rPr>
          <w:rStyle w:val="Emphasis"/>
          <w:rFonts w:eastAsia="Calibri"/>
          <w:bCs/>
        </w:rPr>
        <w:t>)</w:t>
      </w:r>
      <w:r w:rsidR="00082E13">
        <w:rPr>
          <w:rStyle w:val="Emphasis"/>
          <w:rFonts w:eastAsia="Calibri"/>
          <w:bCs/>
          <w:i w:val="0"/>
          <w:iCs/>
        </w:rPr>
        <w:t xml:space="preserve">, </w:t>
      </w:r>
      <w:r w:rsidR="00AC1D45">
        <w:rPr>
          <w:rStyle w:val="Emphasis"/>
          <w:rFonts w:eastAsia="Calibri"/>
          <w:bCs/>
          <w:i w:val="0"/>
          <w:iCs/>
        </w:rPr>
        <w:t xml:space="preserve">Kristin </w:t>
      </w:r>
      <w:r w:rsidR="008D0F90">
        <w:rPr>
          <w:rStyle w:val="Emphasis"/>
          <w:rFonts w:eastAsia="Calibri"/>
          <w:bCs/>
          <w:i w:val="0"/>
          <w:iCs/>
        </w:rPr>
        <w:t>Sitcov</w:t>
      </w:r>
      <w:r w:rsidR="00AC1D45">
        <w:rPr>
          <w:rStyle w:val="Emphasis"/>
          <w:rFonts w:eastAsia="Calibri"/>
          <w:bCs/>
          <w:i w:val="0"/>
          <w:iCs/>
        </w:rPr>
        <w:t xml:space="preserve"> </w:t>
      </w:r>
      <w:r w:rsidR="001B64F1">
        <w:rPr>
          <w:rStyle w:val="Emphasis"/>
          <w:rFonts w:eastAsia="Calibri"/>
          <w:bCs/>
        </w:rPr>
        <w:t>(1</w:t>
      </w:r>
      <w:r w:rsidR="00AC1D45" w:rsidRPr="00AC1D45">
        <w:rPr>
          <w:rStyle w:val="Emphasis"/>
          <w:rFonts w:eastAsia="Calibri"/>
          <w:bCs/>
        </w:rPr>
        <w:t>),</w:t>
      </w:r>
      <w:r w:rsidR="00AC1D45">
        <w:rPr>
          <w:rStyle w:val="Emphasis"/>
          <w:rFonts w:eastAsia="Calibri"/>
          <w:bCs/>
          <w:i w:val="0"/>
          <w:iCs/>
        </w:rPr>
        <w:t xml:space="preserve"> </w:t>
      </w:r>
      <w:r w:rsidR="00082E13">
        <w:rPr>
          <w:rStyle w:val="Emphasis"/>
          <w:rFonts w:eastAsia="Calibri"/>
          <w:bCs/>
          <w:i w:val="0"/>
          <w:iCs/>
        </w:rPr>
        <w:t xml:space="preserve">Vivienne Souter, MD </w:t>
      </w:r>
      <w:r w:rsidR="00082E13" w:rsidRPr="00AC1D45">
        <w:rPr>
          <w:rStyle w:val="Emphasis"/>
          <w:rFonts w:eastAsia="Calibri"/>
          <w:bCs/>
        </w:rPr>
        <w:t>(</w:t>
      </w:r>
      <w:r w:rsidR="001B64F1">
        <w:rPr>
          <w:rStyle w:val="Emphasis"/>
          <w:rFonts w:eastAsia="Calibri"/>
          <w:bCs/>
        </w:rPr>
        <w:t>1</w:t>
      </w:r>
      <w:r w:rsidR="00082E13" w:rsidRPr="00AC1D45">
        <w:rPr>
          <w:rStyle w:val="Emphasis"/>
          <w:rFonts w:eastAsia="Calibri"/>
          <w:bCs/>
        </w:rPr>
        <w:t xml:space="preserve">, </w:t>
      </w:r>
      <w:r w:rsidR="001B64F1">
        <w:rPr>
          <w:rStyle w:val="Emphasis"/>
          <w:rFonts w:eastAsia="Calibri"/>
          <w:bCs/>
        </w:rPr>
        <w:t>3</w:t>
      </w:r>
      <w:r w:rsidR="00082E13" w:rsidRPr="00AC1D45">
        <w:rPr>
          <w:rStyle w:val="Emphasis"/>
          <w:rFonts w:eastAsia="Calibri"/>
          <w:bCs/>
        </w:rPr>
        <w:t>)</w:t>
      </w:r>
    </w:p>
    <w:p w14:paraId="2C05DE93" w14:textId="77777777" w:rsidR="00E3659A" w:rsidRDefault="00E3659A" w:rsidP="00E3659A">
      <w:pPr>
        <w:pStyle w:val="NormalWeb"/>
        <w:spacing w:before="0" w:beforeAutospacing="0" w:after="0" w:afterAutospacing="0" w:line="360" w:lineRule="auto"/>
        <w:rPr>
          <w:rStyle w:val="Emphasis"/>
          <w:rFonts w:eastAsia="Calibri"/>
          <w:bCs/>
          <w:i w:val="0"/>
          <w:iCs/>
        </w:rPr>
      </w:pPr>
    </w:p>
    <w:p w14:paraId="0ADDECFA" w14:textId="1FA42463" w:rsidR="00E3659A" w:rsidRPr="002F2453" w:rsidRDefault="001B64F1" w:rsidP="00E3659A">
      <w:pPr>
        <w:pStyle w:val="NormalWeb"/>
        <w:spacing w:before="0" w:beforeAutospacing="0" w:after="0" w:afterAutospacing="0" w:line="360" w:lineRule="auto"/>
        <w:rPr>
          <w:rStyle w:val="Emphasis"/>
          <w:rFonts w:eastAsia="Calibri"/>
          <w:bCs/>
          <w:i w:val="0"/>
        </w:rPr>
      </w:pPr>
      <w:r>
        <w:rPr>
          <w:i/>
          <w:iCs/>
          <w:shd w:val="clear" w:color="auto" w:fill="FFFFFF"/>
        </w:rPr>
        <w:t xml:space="preserve">(1) Foundation for Health Care Quality, Seattle, Washington. </w:t>
      </w:r>
      <w:r w:rsidR="00E3659A">
        <w:rPr>
          <w:rStyle w:val="Emphasis"/>
          <w:rFonts w:eastAsia="Calibri"/>
          <w:bCs/>
        </w:rPr>
        <w:t>(</w:t>
      </w:r>
      <w:r>
        <w:rPr>
          <w:rStyle w:val="Emphasis"/>
          <w:rFonts w:eastAsia="Calibri"/>
          <w:bCs/>
        </w:rPr>
        <w:t>2</w:t>
      </w:r>
      <w:r w:rsidR="00E3659A">
        <w:rPr>
          <w:rStyle w:val="Emphasis"/>
          <w:rFonts w:eastAsia="Calibri"/>
          <w:bCs/>
        </w:rPr>
        <w:t xml:space="preserve">) </w:t>
      </w:r>
      <w:r w:rsidR="00E3659A">
        <w:rPr>
          <w:i/>
          <w:iCs/>
          <w:shd w:val="clear" w:color="auto" w:fill="FFFFFF"/>
        </w:rPr>
        <w:t>Department of Epidemiology, University of Washington, Seattle, Washington.</w:t>
      </w:r>
      <w:r w:rsidR="00E3659A" w:rsidRPr="00E3659A">
        <w:rPr>
          <w:rStyle w:val="Emphasis"/>
          <w:rFonts w:eastAsia="Calibri"/>
          <w:bCs/>
        </w:rPr>
        <w:t xml:space="preserve"> </w:t>
      </w:r>
      <w:r w:rsidR="00E3659A">
        <w:rPr>
          <w:rStyle w:val="Emphasis"/>
          <w:rFonts w:eastAsia="Calibri"/>
          <w:bCs/>
        </w:rPr>
        <w:t>(</w:t>
      </w:r>
      <w:r>
        <w:rPr>
          <w:rStyle w:val="Emphasis"/>
          <w:rFonts w:eastAsia="Calibri"/>
          <w:bCs/>
        </w:rPr>
        <w:t>3</w:t>
      </w:r>
      <w:r w:rsidR="00E3659A">
        <w:rPr>
          <w:rStyle w:val="Emphasis"/>
          <w:rFonts w:eastAsia="Calibri"/>
          <w:bCs/>
        </w:rPr>
        <w:t xml:space="preserve">) </w:t>
      </w:r>
      <w:r w:rsidR="00E3659A">
        <w:rPr>
          <w:i/>
          <w:iCs/>
          <w:shd w:val="clear" w:color="auto" w:fill="FFFFFF"/>
        </w:rPr>
        <w:t>Department of Health Services, University of Washington, Seattle, Washington. (</w:t>
      </w:r>
      <w:r>
        <w:rPr>
          <w:i/>
          <w:iCs/>
          <w:shd w:val="clear" w:color="auto" w:fill="FFFFFF"/>
        </w:rPr>
        <w:t>4</w:t>
      </w:r>
      <w:r w:rsidR="00E3659A">
        <w:rPr>
          <w:i/>
          <w:iCs/>
          <w:shd w:val="clear" w:color="auto" w:fill="FFFFFF"/>
        </w:rPr>
        <w:t>) Center for Excellence in Maternal and Child Health, University of Washington, Seattle, Washington. (</w:t>
      </w:r>
      <w:r>
        <w:rPr>
          <w:i/>
          <w:iCs/>
          <w:shd w:val="clear" w:color="auto" w:fill="FFFFFF"/>
        </w:rPr>
        <w:t>5</w:t>
      </w:r>
      <w:r w:rsidR="00E3659A">
        <w:rPr>
          <w:i/>
          <w:iCs/>
          <w:shd w:val="clear" w:color="auto" w:fill="FFFFFF"/>
        </w:rPr>
        <w:t>) School of Social Work, University of Washington, Seattle, Washington. (</w:t>
      </w:r>
      <w:r>
        <w:rPr>
          <w:i/>
          <w:iCs/>
          <w:shd w:val="clear" w:color="auto" w:fill="FFFFFF"/>
        </w:rPr>
        <w:t>6</w:t>
      </w:r>
      <w:r w:rsidR="00E3659A">
        <w:rPr>
          <w:i/>
          <w:iCs/>
          <w:shd w:val="clear" w:color="auto" w:fill="FFFFFF"/>
        </w:rPr>
        <w:t xml:space="preserve">) </w:t>
      </w:r>
      <w:r w:rsidR="00AF3FC8">
        <w:rPr>
          <w:i/>
          <w:iCs/>
          <w:shd w:val="clear" w:color="auto" w:fill="FFFFFF"/>
        </w:rPr>
        <w:t xml:space="preserve">Department of Obstetrics and Gynecology, University of Washington, Seattle, Washington. </w:t>
      </w:r>
    </w:p>
    <w:p w14:paraId="14EEF03C" w14:textId="2D82DD4E" w:rsidR="002123B2" w:rsidRPr="002123B2" w:rsidRDefault="002123B2" w:rsidP="00030085">
      <w:pPr>
        <w:pStyle w:val="NormalWeb"/>
        <w:spacing w:before="0" w:beforeAutospacing="0" w:after="0" w:afterAutospacing="0" w:line="276" w:lineRule="auto"/>
      </w:pPr>
    </w:p>
    <w:p w14:paraId="1070B2F6" w14:textId="4E8E2EA1" w:rsidR="002123B2" w:rsidRDefault="002123B2" w:rsidP="00030085">
      <w:pPr>
        <w:pStyle w:val="NormalWeb"/>
        <w:spacing w:before="0" w:beforeAutospacing="0" w:after="0" w:afterAutospacing="0" w:line="276" w:lineRule="auto"/>
        <w:rPr>
          <w:b/>
          <w:bCs/>
        </w:rPr>
      </w:pPr>
    </w:p>
    <w:p w14:paraId="3F9FB739" w14:textId="6D44CC49" w:rsidR="002123B2" w:rsidRDefault="002123B2" w:rsidP="00030085">
      <w:pPr>
        <w:pStyle w:val="NormalWeb"/>
        <w:spacing w:before="0" w:beforeAutospacing="0" w:after="0" w:afterAutospacing="0" w:line="276" w:lineRule="auto"/>
        <w:rPr>
          <w:b/>
          <w:bCs/>
        </w:rPr>
      </w:pPr>
    </w:p>
    <w:p w14:paraId="035E10C6" w14:textId="4AB61FF8" w:rsidR="002123B2" w:rsidRDefault="002123B2" w:rsidP="00030085">
      <w:pPr>
        <w:pStyle w:val="NormalWeb"/>
        <w:spacing w:before="0" w:beforeAutospacing="0" w:after="0" w:afterAutospacing="0" w:line="276" w:lineRule="auto"/>
        <w:rPr>
          <w:b/>
          <w:bCs/>
        </w:rPr>
      </w:pPr>
    </w:p>
    <w:p w14:paraId="47F55518" w14:textId="29CE580E" w:rsidR="002123B2" w:rsidRDefault="002123B2" w:rsidP="00030085">
      <w:pPr>
        <w:pStyle w:val="NormalWeb"/>
        <w:spacing w:before="0" w:beforeAutospacing="0" w:after="0" w:afterAutospacing="0" w:line="276" w:lineRule="auto"/>
        <w:rPr>
          <w:b/>
          <w:bCs/>
        </w:rPr>
      </w:pPr>
    </w:p>
    <w:p w14:paraId="6C14DEDC" w14:textId="13F2F5B9" w:rsidR="002123B2" w:rsidRDefault="002123B2" w:rsidP="00030085">
      <w:pPr>
        <w:pStyle w:val="NormalWeb"/>
        <w:spacing w:before="0" w:beforeAutospacing="0" w:after="0" w:afterAutospacing="0" w:line="276" w:lineRule="auto"/>
        <w:rPr>
          <w:b/>
          <w:bCs/>
        </w:rPr>
      </w:pPr>
    </w:p>
    <w:p w14:paraId="6AC9813D" w14:textId="4F6FE27E" w:rsidR="00E3659A" w:rsidRDefault="00E3659A" w:rsidP="00030085">
      <w:pPr>
        <w:pStyle w:val="NormalWeb"/>
        <w:spacing w:before="0" w:beforeAutospacing="0" w:after="0" w:afterAutospacing="0" w:line="276" w:lineRule="auto"/>
        <w:rPr>
          <w:b/>
          <w:bCs/>
        </w:rPr>
      </w:pPr>
    </w:p>
    <w:p w14:paraId="1250D3D1" w14:textId="56CC4CCE" w:rsidR="00E3659A" w:rsidRDefault="00E3659A" w:rsidP="00030085">
      <w:pPr>
        <w:pStyle w:val="NormalWeb"/>
        <w:spacing w:before="0" w:beforeAutospacing="0" w:after="0" w:afterAutospacing="0" w:line="276" w:lineRule="auto"/>
        <w:rPr>
          <w:b/>
          <w:bCs/>
        </w:rPr>
      </w:pPr>
    </w:p>
    <w:p w14:paraId="76AB5951" w14:textId="268E7A81" w:rsidR="00C04090" w:rsidRDefault="00C04090" w:rsidP="00030085">
      <w:pPr>
        <w:pStyle w:val="NormalWeb"/>
        <w:spacing w:before="0" w:beforeAutospacing="0" w:after="0" w:afterAutospacing="0" w:line="276" w:lineRule="auto"/>
        <w:rPr>
          <w:b/>
          <w:bCs/>
        </w:rPr>
      </w:pPr>
    </w:p>
    <w:p w14:paraId="42FE66ED" w14:textId="34BF778D" w:rsidR="00C04090" w:rsidRDefault="00C04090" w:rsidP="00030085">
      <w:pPr>
        <w:pStyle w:val="NormalWeb"/>
        <w:spacing w:before="0" w:beforeAutospacing="0" w:after="0" w:afterAutospacing="0" w:line="276" w:lineRule="auto"/>
        <w:rPr>
          <w:b/>
          <w:bCs/>
        </w:rPr>
      </w:pPr>
    </w:p>
    <w:p w14:paraId="305A33D1" w14:textId="652D8541" w:rsidR="00C04090" w:rsidRDefault="00C04090" w:rsidP="00030085">
      <w:pPr>
        <w:pStyle w:val="NormalWeb"/>
        <w:spacing w:before="0" w:beforeAutospacing="0" w:after="0" w:afterAutospacing="0" w:line="276" w:lineRule="auto"/>
        <w:rPr>
          <w:b/>
          <w:bCs/>
        </w:rPr>
      </w:pPr>
    </w:p>
    <w:p w14:paraId="1E5DFD6F" w14:textId="16D0579B" w:rsidR="00A676F8" w:rsidRDefault="00A676F8" w:rsidP="00030085">
      <w:pPr>
        <w:pStyle w:val="NormalWeb"/>
        <w:spacing w:before="0" w:beforeAutospacing="0" w:after="0" w:afterAutospacing="0" w:line="276" w:lineRule="auto"/>
        <w:rPr>
          <w:b/>
          <w:bCs/>
        </w:rPr>
      </w:pPr>
    </w:p>
    <w:p w14:paraId="51BD8556" w14:textId="6EB11EA3" w:rsidR="00A676F8" w:rsidRDefault="00A676F8" w:rsidP="00030085">
      <w:pPr>
        <w:pStyle w:val="NormalWeb"/>
        <w:spacing w:before="0" w:beforeAutospacing="0" w:after="0" w:afterAutospacing="0" w:line="276" w:lineRule="auto"/>
        <w:rPr>
          <w:b/>
          <w:bCs/>
        </w:rPr>
      </w:pPr>
    </w:p>
    <w:p w14:paraId="1BF150B9" w14:textId="13B28647" w:rsidR="00A676F8" w:rsidRDefault="00A676F8" w:rsidP="00030085">
      <w:pPr>
        <w:pStyle w:val="NormalWeb"/>
        <w:spacing w:before="0" w:beforeAutospacing="0" w:after="0" w:afterAutospacing="0" w:line="276" w:lineRule="auto"/>
        <w:rPr>
          <w:b/>
          <w:bCs/>
        </w:rPr>
      </w:pPr>
    </w:p>
    <w:p w14:paraId="42D606B1" w14:textId="77777777" w:rsidR="00A676F8" w:rsidRDefault="00A676F8" w:rsidP="00030085">
      <w:pPr>
        <w:pStyle w:val="NormalWeb"/>
        <w:spacing w:before="0" w:beforeAutospacing="0" w:after="0" w:afterAutospacing="0" w:line="276" w:lineRule="auto"/>
        <w:rPr>
          <w:b/>
          <w:bCs/>
        </w:rPr>
      </w:pPr>
    </w:p>
    <w:p w14:paraId="7F8A40C4" w14:textId="75E38ACC" w:rsidR="00E3659A" w:rsidRDefault="00E3659A" w:rsidP="00030085">
      <w:pPr>
        <w:pStyle w:val="NormalWeb"/>
        <w:spacing w:before="0" w:beforeAutospacing="0" w:after="0" w:afterAutospacing="0" w:line="276" w:lineRule="auto"/>
        <w:rPr>
          <w:b/>
          <w:bCs/>
        </w:rPr>
      </w:pPr>
    </w:p>
    <w:p w14:paraId="3550AE05" w14:textId="7330BDAB" w:rsidR="00E3659A" w:rsidRDefault="00E3659A" w:rsidP="00030085">
      <w:pPr>
        <w:pStyle w:val="NormalWeb"/>
        <w:spacing w:before="0" w:beforeAutospacing="0" w:after="0" w:afterAutospacing="0" w:line="276" w:lineRule="auto"/>
        <w:rPr>
          <w:b/>
          <w:bCs/>
        </w:rPr>
      </w:pPr>
    </w:p>
    <w:p w14:paraId="2FE950BE" w14:textId="24CB5A2C" w:rsidR="00E3659A" w:rsidRDefault="00E3659A" w:rsidP="00030085">
      <w:pPr>
        <w:pStyle w:val="NormalWeb"/>
        <w:spacing w:before="0" w:beforeAutospacing="0" w:after="0" w:afterAutospacing="0" w:line="276" w:lineRule="auto"/>
        <w:rPr>
          <w:b/>
          <w:bCs/>
        </w:rPr>
      </w:pPr>
    </w:p>
    <w:p w14:paraId="284F18F6" w14:textId="120B5CE7" w:rsidR="00E3659A" w:rsidRDefault="00E3659A" w:rsidP="00030085">
      <w:pPr>
        <w:pStyle w:val="NormalWeb"/>
        <w:spacing w:before="0" w:beforeAutospacing="0" w:after="0" w:afterAutospacing="0" w:line="276" w:lineRule="auto"/>
        <w:rPr>
          <w:b/>
          <w:bCs/>
        </w:rPr>
      </w:pPr>
    </w:p>
    <w:p w14:paraId="58F7D12C" w14:textId="77777777" w:rsidR="00647F5F" w:rsidRDefault="00647F5F" w:rsidP="00030085">
      <w:pPr>
        <w:pStyle w:val="NormalWeb"/>
        <w:spacing w:before="0" w:beforeAutospacing="0" w:after="0" w:afterAutospacing="0" w:line="276" w:lineRule="auto"/>
        <w:rPr>
          <w:b/>
          <w:bCs/>
        </w:rPr>
      </w:pPr>
    </w:p>
    <w:p w14:paraId="4CF57A65" w14:textId="00655953" w:rsidR="00E3659A" w:rsidRDefault="00E3659A" w:rsidP="00030085">
      <w:pPr>
        <w:pStyle w:val="NormalWeb"/>
        <w:spacing w:before="0" w:beforeAutospacing="0" w:after="0" w:afterAutospacing="0" w:line="276" w:lineRule="auto"/>
        <w:rPr>
          <w:b/>
          <w:bCs/>
        </w:rPr>
      </w:pPr>
    </w:p>
    <w:p w14:paraId="4B207674" w14:textId="376D2DEA" w:rsidR="00E3659A" w:rsidRDefault="00E3659A" w:rsidP="00030085">
      <w:pPr>
        <w:pStyle w:val="NormalWeb"/>
        <w:spacing w:before="0" w:beforeAutospacing="0" w:after="0" w:afterAutospacing="0" w:line="276" w:lineRule="auto"/>
        <w:rPr>
          <w:b/>
          <w:bCs/>
        </w:rPr>
      </w:pPr>
    </w:p>
    <w:p w14:paraId="72872FD7" w14:textId="47433009" w:rsidR="00E3659A" w:rsidRDefault="00E3659A" w:rsidP="00030085">
      <w:pPr>
        <w:pStyle w:val="NormalWeb"/>
        <w:spacing w:before="0" w:beforeAutospacing="0" w:after="0" w:afterAutospacing="0" w:line="276" w:lineRule="auto"/>
        <w:rPr>
          <w:b/>
          <w:bCs/>
        </w:rPr>
      </w:pPr>
    </w:p>
    <w:p w14:paraId="77969684" w14:textId="67195092" w:rsidR="00E3659A" w:rsidRDefault="00E3659A" w:rsidP="00030085">
      <w:pPr>
        <w:pStyle w:val="NormalWeb"/>
        <w:spacing w:before="0" w:beforeAutospacing="0" w:after="0" w:afterAutospacing="0" w:line="276" w:lineRule="auto"/>
        <w:rPr>
          <w:b/>
          <w:bCs/>
        </w:rPr>
      </w:pPr>
    </w:p>
    <w:p w14:paraId="40E86567" w14:textId="77777777" w:rsidR="00E3659A" w:rsidRDefault="00E3659A" w:rsidP="00030085">
      <w:pPr>
        <w:pStyle w:val="NormalWeb"/>
        <w:spacing w:before="0" w:beforeAutospacing="0" w:after="0" w:afterAutospacing="0" w:line="276" w:lineRule="auto"/>
        <w:rPr>
          <w:b/>
          <w:bCs/>
        </w:rPr>
      </w:pPr>
    </w:p>
    <w:p w14:paraId="753F7B71" w14:textId="77777777" w:rsidR="00170AF5" w:rsidRDefault="00170AF5" w:rsidP="00170AF5">
      <w:pPr>
        <w:pStyle w:val="NormalWeb"/>
        <w:spacing w:before="0" w:beforeAutospacing="0" w:after="0" w:afterAutospacing="0" w:line="480" w:lineRule="auto"/>
        <w:rPr>
          <w:i/>
          <w:iCs/>
          <w:color w:val="000000" w:themeColor="text1"/>
        </w:rPr>
      </w:pPr>
      <w:r>
        <w:rPr>
          <w:rFonts w:ascii="Times" w:hAnsi="Times"/>
          <w:b/>
          <w:bCs/>
          <w:color w:val="000000" w:themeColor="text1"/>
        </w:rPr>
        <w:lastRenderedPageBreak/>
        <w:t>A</w:t>
      </w:r>
      <w:r w:rsidR="006F7C19" w:rsidRPr="006F7C19">
        <w:rPr>
          <w:rFonts w:ascii="Times" w:hAnsi="Times"/>
          <w:b/>
          <w:bCs/>
          <w:color w:val="000000" w:themeColor="text1"/>
        </w:rPr>
        <w:t>bstract</w:t>
      </w:r>
    </w:p>
    <w:p w14:paraId="5B7E1386" w14:textId="1190A610" w:rsidR="00A2066A" w:rsidRPr="00170AF5" w:rsidRDefault="00A2066A" w:rsidP="00170AF5">
      <w:pPr>
        <w:pStyle w:val="NormalWeb"/>
        <w:spacing w:before="0" w:beforeAutospacing="0" w:after="0" w:afterAutospacing="0"/>
        <w:rPr>
          <w:i/>
          <w:iCs/>
          <w:color w:val="000000" w:themeColor="text1"/>
        </w:rPr>
      </w:pPr>
      <w:r w:rsidRPr="00A2066A">
        <w:rPr>
          <w:i/>
          <w:iCs/>
        </w:rPr>
        <w:t>Objective</w:t>
      </w:r>
      <w:r w:rsidRPr="00A2066A">
        <w:t xml:space="preserve">: To </w:t>
      </w:r>
      <w:r w:rsidR="00BA4183">
        <w:t>investigate</w:t>
      </w:r>
      <w:r w:rsidR="00BA4183" w:rsidRPr="00A2066A">
        <w:t xml:space="preserve"> </w:t>
      </w:r>
      <w:r w:rsidRPr="00A2066A">
        <w:t>racial</w:t>
      </w:r>
      <w:r w:rsidR="00C63E59">
        <w:t xml:space="preserve"> and </w:t>
      </w:r>
      <w:r w:rsidRPr="00A2066A">
        <w:t xml:space="preserve">ethnic disparities in obstetric outcome and process </w:t>
      </w:r>
      <w:r>
        <w:t>measures</w:t>
      </w:r>
      <w:r w:rsidR="00A671B7">
        <w:t xml:space="preserve"> </w:t>
      </w:r>
      <w:r>
        <w:t>in the</w:t>
      </w:r>
      <w:r w:rsidR="008859FB">
        <w:t xml:space="preserve"> </w:t>
      </w:r>
      <w:r>
        <w:t>Northwes</w:t>
      </w:r>
      <w:r w:rsidR="008153D9">
        <w:t>t</w:t>
      </w:r>
      <w:r w:rsidR="00954AD8">
        <w:t xml:space="preserve"> Region of </w:t>
      </w:r>
      <w:r w:rsidR="00AB0FF7">
        <w:t xml:space="preserve">the </w:t>
      </w:r>
      <w:r w:rsidR="00A40CE4">
        <w:t>United States</w:t>
      </w:r>
      <w:r w:rsidR="00C63E59">
        <w:t>.</w:t>
      </w:r>
      <w:r w:rsidR="008153D9">
        <w:t xml:space="preserve">  </w:t>
      </w:r>
    </w:p>
    <w:p w14:paraId="0EBFDDCE" w14:textId="77777777" w:rsidR="001E4A88" w:rsidRPr="00A2066A" w:rsidRDefault="001E4A88" w:rsidP="00170AF5">
      <w:pPr>
        <w:pStyle w:val="NormalWeb"/>
        <w:spacing w:before="0" w:beforeAutospacing="0" w:after="0" w:afterAutospacing="0"/>
      </w:pPr>
    </w:p>
    <w:p w14:paraId="028B57E6" w14:textId="1E0215DD" w:rsidR="004C355A" w:rsidRDefault="00A2066A" w:rsidP="00170AF5">
      <w:pPr>
        <w:pStyle w:val="NormalWeb"/>
        <w:spacing w:before="0" w:beforeAutospacing="0" w:after="0" w:afterAutospacing="0"/>
      </w:pPr>
      <w:r w:rsidRPr="00A2066A">
        <w:rPr>
          <w:i/>
          <w:iCs/>
        </w:rPr>
        <w:t>Methods</w:t>
      </w:r>
      <w:r w:rsidRPr="00A2066A">
        <w:t xml:space="preserve">: </w:t>
      </w:r>
      <w:r>
        <w:t>The study population included</w:t>
      </w:r>
      <w:r w:rsidR="001E4A88">
        <w:t xml:space="preserve"> </w:t>
      </w:r>
      <w:r w:rsidR="00980FEA">
        <w:t>patients</w:t>
      </w:r>
      <w:r w:rsidR="00954AD8">
        <w:t xml:space="preserve"> </w:t>
      </w:r>
      <w:r w:rsidR="00846565">
        <w:t>with</w:t>
      </w:r>
      <w:r w:rsidR="002A181C">
        <w:t xml:space="preserve"> </w:t>
      </w:r>
      <w:r w:rsidRPr="007709B8">
        <w:t>singleton</w:t>
      </w:r>
      <w:r w:rsidR="00D3018F">
        <w:t>, live</w:t>
      </w:r>
      <w:r w:rsidRPr="007709B8">
        <w:t xml:space="preserve">births </w:t>
      </w:r>
      <w:r w:rsidR="00BE3A29">
        <w:t>(</w:t>
      </w:r>
      <w:r w:rsidRPr="007709B8">
        <w:t>23</w:t>
      </w:r>
      <w:r w:rsidRPr="007709B8">
        <w:rPr>
          <w:vertAlign w:val="superscript"/>
        </w:rPr>
        <w:t>+0</w:t>
      </w:r>
      <w:r w:rsidR="00BE3A29">
        <w:rPr>
          <w:vertAlign w:val="superscript"/>
        </w:rPr>
        <w:t xml:space="preserve"> </w:t>
      </w:r>
      <w:r w:rsidRPr="007709B8">
        <w:t>-</w:t>
      </w:r>
      <w:r w:rsidR="00BE3A29">
        <w:t xml:space="preserve"> </w:t>
      </w:r>
      <w:r w:rsidRPr="007709B8">
        <w:t>42</w:t>
      </w:r>
      <w:r w:rsidRPr="007709B8">
        <w:rPr>
          <w:vertAlign w:val="superscript"/>
        </w:rPr>
        <w:t>+6</w:t>
      </w:r>
      <w:r w:rsidRPr="007709B8">
        <w:t xml:space="preserve"> weeks</w:t>
      </w:r>
      <w:r w:rsidR="00415D2A">
        <w:t>’ gestation</w:t>
      </w:r>
      <w:r w:rsidR="00BE3A29">
        <w:t>)</w:t>
      </w:r>
      <w:r w:rsidRPr="007709B8">
        <w:t xml:space="preserve"> </w:t>
      </w:r>
      <w:r w:rsidRPr="00E010B7">
        <w:t>between January 1, 2017 and June 30, 2019</w:t>
      </w:r>
      <w:r w:rsidR="00F37C82">
        <w:t xml:space="preserve"> at 17 hospitals in Washington State</w:t>
      </w:r>
      <w:r w:rsidRPr="00E010B7">
        <w:t>.</w:t>
      </w:r>
      <w:r>
        <w:t xml:space="preserve"> </w:t>
      </w:r>
      <w:r w:rsidR="00BE635A">
        <w:t>The exposure was self-reported race</w:t>
      </w:r>
      <w:r w:rsidR="006A25B0">
        <w:t xml:space="preserve">/ </w:t>
      </w:r>
      <w:r w:rsidR="00BE635A">
        <w:t>ethnicity.</w:t>
      </w:r>
      <w:r w:rsidR="00AB0FF7">
        <w:t xml:space="preserve"> </w:t>
      </w:r>
      <w:r>
        <w:t xml:space="preserve">Outcome </w:t>
      </w:r>
      <w:r w:rsidR="00AA6301">
        <w:t xml:space="preserve">measures </w:t>
      </w:r>
      <w:r>
        <w:t>include</w:t>
      </w:r>
      <w:r w:rsidR="00415D2A">
        <w:t>d</w:t>
      </w:r>
      <w:r w:rsidRPr="00B63DDD">
        <w:t xml:space="preserve"> </w:t>
      </w:r>
      <w:r>
        <w:t>c</w:t>
      </w:r>
      <w:r w:rsidRPr="00E010B7">
        <w:t xml:space="preserve">esarean </w:t>
      </w:r>
      <w:r w:rsidR="00E05DF8">
        <w:t>delivery</w:t>
      </w:r>
      <w:r>
        <w:t xml:space="preserve"> </w:t>
      </w:r>
      <w:r w:rsidR="002A181C">
        <w:t xml:space="preserve">in the </w:t>
      </w:r>
      <w:r>
        <w:t>nulliparous term singleton vertex (NTSV</w:t>
      </w:r>
      <w:r w:rsidR="00BB6656">
        <w:t xml:space="preserve">) </w:t>
      </w:r>
      <w:r w:rsidR="002A181C">
        <w:t>population</w:t>
      </w:r>
      <w:r w:rsidR="00AB0FF7">
        <w:t xml:space="preserve">, </w:t>
      </w:r>
      <w:r w:rsidRPr="00E010B7">
        <w:rPr>
          <w:color w:val="000000" w:themeColor="text1"/>
        </w:rPr>
        <w:t>3</w:t>
      </w:r>
      <w:r w:rsidRPr="00E010B7">
        <w:rPr>
          <w:color w:val="000000" w:themeColor="text1"/>
          <w:vertAlign w:val="superscript"/>
        </w:rPr>
        <w:t>rd</w:t>
      </w:r>
      <w:r w:rsidR="008153D9">
        <w:rPr>
          <w:color w:val="000000" w:themeColor="text1"/>
        </w:rPr>
        <w:t>/</w:t>
      </w:r>
      <w:r w:rsidRPr="00E010B7">
        <w:rPr>
          <w:color w:val="000000" w:themeColor="text1"/>
        </w:rPr>
        <w:t xml:space="preserve"> 4</w:t>
      </w:r>
      <w:r w:rsidRPr="00E010B7">
        <w:rPr>
          <w:color w:val="000000" w:themeColor="text1"/>
          <w:vertAlign w:val="superscript"/>
        </w:rPr>
        <w:t>th</w:t>
      </w:r>
      <w:r w:rsidRPr="00E010B7">
        <w:rPr>
          <w:color w:val="000000" w:themeColor="text1"/>
        </w:rPr>
        <w:t xml:space="preserve"> degree laceration, </w:t>
      </w:r>
      <w:r w:rsidRPr="002A6F10">
        <w:rPr>
          <w:color w:val="000000" w:themeColor="text1"/>
        </w:rPr>
        <w:t>severe maternal morbidity (SMM)</w:t>
      </w:r>
      <w:r>
        <w:rPr>
          <w:color w:val="000000" w:themeColor="text1"/>
        </w:rPr>
        <w:t xml:space="preserve">, and </w:t>
      </w:r>
      <w:r w:rsidR="00D0520B">
        <w:rPr>
          <w:color w:val="000000" w:themeColor="text1"/>
        </w:rPr>
        <w:t xml:space="preserve">30-day </w:t>
      </w:r>
      <w:r w:rsidRPr="00E010B7">
        <w:rPr>
          <w:color w:val="000000" w:themeColor="text1"/>
        </w:rPr>
        <w:t>maternal readmission</w:t>
      </w:r>
      <w:r w:rsidR="00AB0FF7">
        <w:rPr>
          <w:color w:val="000000" w:themeColor="text1"/>
        </w:rPr>
        <w:t xml:space="preserve"> after delivery</w:t>
      </w:r>
      <w:r>
        <w:t>. Process measures include</w:t>
      </w:r>
      <w:r w:rsidR="00415D2A">
        <w:t>d</w:t>
      </w:r>
      <w:r>
        <w:t xml:space="preserve"> </w:t>
      </w:r>
      <w:r w:rsidRPr="00E010B7">
        <w:rPr>
          <w:color w:val="000000" w:themeColor="text1"/>
        </w:rPr>
        <w:t>absent or minimal prenatal care,</w:t>
      </w:r>
      <w:r w:rsidR="00D0520B">
        <w:rPr>
          <w:color w:val="000000" w:themeColor="text1"/>
        </w:rPr>
        <w:t xml:space="preserve"> M</w:t>
      </w:r>
      <w:r w:rsidR="005F0C42">
        <w:rPr>
          <w:color w:val="000000" w:themeColor="text1"/>
        </w:rPr>
        <w:t>aternal and Fetal Medicine specialist</w:t>
      </w:r>
      <w:r w:rsidR="00D0520B">
        <w:rPr>
          <w:color w:val="000000" w:themeColor="text1"/>
        </w:rPr>
        <w:t xml:space="preserve"> care</w:t>
      </w:r>
      <w:r w:rsidRPr="0076060D">
        <w:rPr>
          <w:color w:val="000000" w:themeColor="text1"/>
        </w:rPr>
        <w:t xml:space="preserve"> for high</w:t>
      </w:r>
      <w:r w:rsidR="004C355A">
        <w:rPr>
          <w:color w:val="000000" w:themeColor="text1"/>
        </w:rPr>
        <w:t>-</w:t>
      </w:r>
      <w:r w:rsidRPr="0076060D">
        <w:rPr>
          <w:color w:val="000000" w:themeColor="text1"/>
        </w:rPr>
        <w:t xml:space="preserve">risk </w:t>
      </w:r>
      <w:r w:rsidR="002A181C">
        <w:rPr>
          <w:color w:val="000000" w:themeColor="text1"/>
        </w:rPr>
        <w:t>pregnancies</w:t>
      </w:r>
      <w:r>
        <w:rPr>
          <w:color w:val="000000" w:themeColor="text1"/>
        </w:rPr>
        <w:t>,</w:t>
      </w:r>
      <w:r w:rsidRPr="00B63DDD">
        <w:rPr>
          <w:color w:val="000000" w:themeColor="text1"/>
        </w:rPr>
        <w:t xml:space="preserve"> </w:t>
      </w:r>
      <w:r w:rsidRPr="00E010B7">
        <w:rPr>
          <w:color w:val="000000" w:themeColor="text1"/>
        </w:rPr>
        <w:t>episiotomy</w:t>
      </w:r>
      <w:r w:rsidR="005F0C42">
        <w:rPr>
          <w:color w:val="000000" w:themeColor="text1"/>
        </w:rPr>
        <w:t>, epidural administration</w:t>
      </w:r>
      <w:r w:rsidR="00336111">
        <w:rPr>
          <w:color w:val="000000" w:themeColor="text1"/>
        </w:rPr>
        <w:t xml:space="preserve">, and </w:t>
      </w:r>
      <w:r w:rsidR="00336111" w:rsidRPr="00E010B7">
        <w:rPr>
          <w:color w:val="000000" w:themeColor="text1"/>
        </w:rPr>
        <w:t>antenatal steroid</w:t>
      </w:r>
      <w:r w:rsidR="00336111">
        <w:rPr>
          <w:color w:val="000000" w:themeColor="text1"/>
        </w:rPr>
        <w:t xml:space="preserve"> administration</w:t>
      </w:r>
      <w:r w:rsidR="00336111" w:rsidRPr="00E010B7">
        <w:rPr>
          <w:color w:val="000000" w:themeColor="text1"/>
        </w:rPr>
        <w:t xml:space="preserve"> </w:t>
      </w:r>
      <w:r w:rsidR="00336111">
        <w:rPr>
          <w:color w:val="000000" w:themeColor="text1"/>
        </w:rPr>
        <w:t xml:space="preserve">for </w:t>
      </w:r>
      <w:r w:rsidR="00336111" w:rsidRPr="00E010B7">
        <w:rPr>
          <w:color w:val="000000" w:themeColor="text1"/>
        </w:rPr>
        <w:t>preterm birth</w:t>
      </w:r>
      <w:r w:rsidR="00336111">
        <w:rPr>
          <w:color w:val="000000" w:themeColor="text1"/>
        </w:rPr>
        <w:t xml:space="preserve"> (23</w:t>
      </w:r>
      <w:r w:rsidR="00336111" w:rsidRPr="00A2066A">
        <w:rPr>
          <w:color w:val="000000" w:themeColor="text1"/>
          <w:vertAlign w:val="superscript"/>
        </w:rPr>
        <w:t>+0</w:t>
      </w:r>
      <w:r w:rsidR="00336111">
        <w:rPr>
          <w:color w:val="000000" w:themeColor="text1"/>
        </w:rPr>
        <w:t>-36</w:t>
      </w:r>
      <w:r w:rsidR="00336111" w:rsidRPr="00A2066A">
        <w:rPr>
          <w:color w:val="000000" w:themeColor="text1"/>
          <w:vertAlign w:val="superscript"/>
        </w:rPr>
        <w:t>+6</w:t>
      </w:r>
      <w:r w:rsidR="00336111">
        <w:rPr>
          <w:color w:val="000000" w:themeColor="text1"/>
        </w:rPr>
        <w:t xml:space="preserve"> weeks’ gestation)</w:t>
      </w:r>
      <w:r>
        <w:t>.</w:t>
      </w:r>
      <w:r w:rsidR="00FD2DDA">
        <w:t xml:space="preserve"> </w:t>
      </w:r>
      <w:r w:rsidR="00E05DF8">
        <w:t>Poisson r</w:t>
      </w:r>
      <w:r w:rsidR="00AB0FF7">
        <w:t>egression models were used to calculate adjusted r</w:t>
      </w:r>
      <w:r w:rsidR="00FD2DDA">
        <w:t>isk ratios (</w:t>
      </w:r>
      <w:r w:rsidR="00AB0FF7">
        <w:t>aRRs</w:t>
      </w:r>
      <w:r w:rsidR="00FD2DDA">
        <w:t>)</w:t>
      </w:r>
      <w:r w:rsidR="00E05DF8">
        <w:t xml:space="preserve"> </w:t>
      </w:r>
      <w:r w:rsidR="00FD2DDA">
        <w:t>and 95% confidence intervals</w:t>
      </w:r>
      <w:r w:rsidR="00AB0FF7">
        <w:t xml:space="preserve">. </w:t>
      </w:r>
    </w:p>
    <w:p w14:paraId="0D6F545F" w14:textId="77777777" w:rsidR="00A671B7" w:rsidRPr="00A2066A" w:rsidRDefault="00A671B7" w:rsidP="00170AF5">
      <w:pPr>
        <w:pStyle w:val="NormalWeb"/>
        <w:spacing w:before="0" w:beforeAutospacing="0" w:after="0" w:afterAutospacing="0"/>
      </w:pPr>
    </w:p>
    <w:p w14:paraId="1FC37EB7" w14:textId="5110CBB8" w:rsidR="009C67B2" w:rsidRDefault="009C67B2" w:rsidP="00170AF5">
      <w:pPr>
        <w:pStyle w:val="NormalWeb"/>
        <w:spacing w:before="0" w:beforeAutospacing="0" w:after="0" w:afterAutospacing="0"/>
      </w:pPr>
      <w:r w:rsidRPr="00A2066A">
        <w:rPr>
          <w:i/>
          <w:iCs/>
        </w:rPr>
        <w:t>Results</w:t>
      </w:r>
      <w:r w:rsidRPr="00A2066A">
        <w:t>:</w:t>
      </w:r>
      <w:r>
        <w:t xml:space="preserve"> </w:t>
      </w:r>
      <w:r w:rsidR="003B6305">
        <w:t xml:space="preserve">The study included </w:t>
      </w:r>
      <w:r w:rsidR="00505D6E">
        <w:rPr>
          <w:rFonts w:ascii="Times" w:hAnsi="Times" w:cs="Times"/>
        </w:rPr>
        <w:t xml:space="preserve">58,439 </w:t>
      </w:r>
      <w:r w:rsidR="003B6305">
        <w:t>patients with a mean age of 30.1 years (</w:t>
      </w:r>
      <w:r w:rsidR="003B6305">
        <w:rPr>
          <w:rFonts w:ascii="Times" w:hAnsi="Times" w:cs="Times"/>
        </w:rPr>
        <w:t xml:space="preserve">standard deviation </w:t>
      </w:r>
      <w:r w:rsidR="003B6305">
        <w:t>= 5.5</w:t>
      </w:r>
      <w:r w:rsidR="00980FEA">
        <w:t xml:space="preserve"> years</w:t>
      </w:r>
      <w:r w:rsidR="003B6305">
        <w:t>)</w:t>
      </w:r>
      <w:r w:rsidR="00004A97">
        <w:t xml:space="preserve">. </w:t>
      </w:r>
      <w:r w:rsidR="00AB0FF7">
        <w:t xml:space="preserve">Compared with Non-Hispanic (NH) White patients, </w:t>
      </w:r>
      <w:r>
        <w:rPr>
          <w:rFonts w:ascii="Times" w:hAnsi="Times" w:cs="Times"/>
        </w:rPr>
        <w:t xml:space="preserve">NH Black patients had the greatest increased risk of NTSV </w:t>
      </w:r>
      <w:r w:rsidR="008153D9">
        <w:rPr>
          <w:rFonts w:ascii="Times" w:hAnsi="Times" w:cs="Times"/>
        </w:rPr>
        <w:t>c</w:t>
      </w:r>
      <w:r w:rsidRPr="00ED62BA">
        <w:rPr>
          <w:rFonts w:ascii="Times" w:hAnsi="Times" w:cs="Times"/>
        </w:rPr>
        <w:t xml:space="preserve">esarean </w:t>
      </w:r>
      <w:r w:rsidR="00170AF5" w:rsidRPr="00170AF5">
        <w:rPr>
          <w:rFonts w:ascii="Times" w:hAnsi="Times" w:cs="Times"/>
        </w:rPr>
        <w:t>delivery</w:t>
      </w:r>
      <w:r w:rsidRPr="00170AF5">
        <w:rPr>
          <w:rFonts w:ascii="Times" w:hAnsi="Times" w:cs="Times"/>
        </w:rPr>
        <w:t xml:space="preserve"> and 30-day maternal readmission (</w:t>
      </w:r>
      <w:r w:rsidR="00B402E6" w:rsidRPr="00170AF5">
        <w:rPr>
          <w:rFonts w:ascii="Times" w:hAnsi="Times" w:cs="Times"/>
        </w:rPr>
        <w:t>a</w:t>
      </w:r>
      <w:r w:rsidRPr="00170AF5">
        <w:rPr>
          <w:rFonts w:ascii="Times" w:hAnsi="Times" w:cs="Times"/>
        </w:rPr>
        <w:t>RR 1.4</w:t>
      </w:r>
      <w:r w:rsidR="00170AF5" w:rsidRPr="00170AF5">
        <w:rPr>
          <w:rFonts w:ascii="Times" w:hAnsi="Times" w:cs="Times"/>
        </w:rPr>
        <w:t>3</w:t>
      </w:r>
      <w:r w:rsidRPr="00170AF5">
        <w:rPr>
          <w:rFonts w:ascii="Times" w:hAnsi="Times" w:cs="Times"/>
        </w:rPr>
        <w:t>, 95% CI</w:t>
      </w:r>
      <w:r w:rsidR="00B402E6" w:rsidRPr="00170AF5">
        <w:rPr>
          <w:rFonts w:ascii="Times" w:hAnsi="Times" w:cs="Times"/>
        </w:rPr>
        <w:t xml:space="preserve"> </w:t>
      </w:r>
      <w:r w:rsidRPr="00170AF5">
        <w:rPr>
          <w:rFonts w:ascii="Times" w:hAnsi="Times" w:cs="Times"/>
        </w:rPr>
        <w:t>1.2</w:t>
      </w:r>
      <w:r w:rsidR="00170AF5" w:rsidRPr="00170AF5">
        <w:rPr>
          <w:rFonts w:ascii="Times" w:hAnsi="Times" w:cs="Times"/>
        </w:rPr>
        <w:t>8</w:t>
      </w:r>
      <w:r w:rsidRPr="00170AF5">
        <w:rPr>
          <w:rFonts w:ascii="Times" w:hAnsi="Times" w:cs="Times"/>
        </w:rPr>
        <w:t>, 1.61</w:t>
      </w:r>
      <w:r w:rsidR="00B402E6" w:rsidRPr="00170AF5">
        <w:rPr>
          <w:rFonts w:ascii="Times" w:hAnsi="Times" w:cs="Times"/>
        </w:rPr>
        <w:t>;</w:t>
      </w:r>
      <w:r w:rsidRPr="00170AF5">
        <w:rPr>
          <w:rFonts w:ascii="Times" w:hAnsi="Times" w:cs="Times"/>
        </w:rPr>
        <w:t xml:space="preserve"> </w:t>
      </w:r>
      <w:r w:rsidR="003F6623" w:rsidRPr="00170AF5">
        <w:rPr>
          <w:rFonts w:ascii="Times" w:hAnsi="Times" w:cs="Times"/>
        </w:rPr>
        <w:t>a</w:t>
      </w:r>
      <w:r w:rsidRPr="00170AF5">
        <w:rPr>
          <w:rFonts w:ascii="Times" w:hAnsi="Times" w:cs="Times"/>
        </w:rPr>
        <w:t xml:space="preserve">RR </w:t>
      </w:r>
      <w:r w:rsidR="00ED62BA" w:rsidRPr="00170AF5">
        <w:rPr>
          <w:rFonts w:ascii="Times" w:hAnsi="Times" w:cs="Times"/>
        </w:rPr>
        <w:t>1.90</w:t>
      </w:r>
      <w:r w:rsidRPr="00170AF5">
        <w:rPr>
          <w:rFonts w:ascii="Times" w:hAnsi="Times" w:cs="Times"/>
        </w:rPr>
        <w:t>, 95% CI</w:t>
      </w:r>
      <w:r w:rsidR="00B402E6" w:rsidRPr="00170AF5">
        <w:rPr>
          <w:rFonts w:ascii="Times" w:hAnsi="Times" w:cs="Times"/>
        </w:rPr>
        <w:t xml:space="preserve"> </w:t>
      </w:r>
      <w:r w:rsidR="00ED62BA" w:rsidRPr="00170AF5">
        <w:rPr>
          <w:color w:val="000000" w:themeColor="text1"/>
        </w:rPr>
        <w:t>1.49, 2.41</w:t>
      </w:r>
      <w:r w:rsidR="007D2AE2" w:rsidRPr="00170AF5">
        <w:rPr>
          <w:rFonts w:ascii="Times" w:hAnsi="Times" w:cs="Times"/>
        </w:rPr>
        <w:t>, respectively</w:t>
      </w:r>
      <w:r w:rsidRPr="00170AF5">
        <w:rPr>
          <w:rFonts w:ascii="Times" w:hAnsi="Times" w:cs="Times"/>
        </w:rPr>
        <w:t xml:space="preserve">). </w:t>
      </w:r>
      <w:r w:rsidR="00E26CD2" w:rsidRPr="00170AF5">
        <w:rPr>
          <w:rFonts w:ascii="Times" w:hAnsi="Times" w:cs="Times"/>
        </w:rPr>
        <w:t xml:space="preserve">NH </w:t>
      </w:r>
      <w:r w:rsidRPr="00170AF5">
        <w:rPr>
          <w:rFonts w:ascii="Times" w:hAnsi="Times" w:cs="Times"/>
        </w:rPr>
        <w:t xml:space="preserve">Asian patients had increased risk of </w:t>
      </w:r>
      <w:r w:rsidR="00170AF5" w:rsidRPr="00170AF5">
        <w:rPr>
          <w:rFonts w:ascii="Times" w:hAnsi="Times" w:cs="Times"/>
        </w:rPr>
        <w:t xml:space="preserve">NTSV cesarean delivery, </w:t>
      </w:r>
      <w:r w:rsidRPr="00170AF5">
        <w:rPr>
          <w:rFonts w:ascii="Times" w:hAnsi="Times" w:cs="Times"/>
        </w:rPr>
        <w:t>3</w:t>
      </w:r>
      <w:r w:rsidRPr="00170AF5">
        <w:rPr>
          <w:rFonts w:ascii="Times" w:hAnsi="Times" w:cs="Times"/>
          <w:vertAlign w:val="superscript"/>
        </w:rPr>
        <w:t>rd</w:t>
      </w:r>
      <w:r w:rsidRPr="00170AF5">
        <w:rPr>
          <w:rFonts w:ascii="Times" w:hAnsi="Times" w:cs="Times"/>
        </w:rPr>
        <w:t>/4</w:t>
      </w:r>
      <w:r w:rsidRPr="00170AF5">
        <w:rPr>
          <w:rFonts w:ascii="Times" w:hAnsi="Times" w:cs="Times"/>
          <w:vertAlign w:val="superscript"/>
        </w:rPr>
        <w:t>th</w:t>
      </w:r>
      <w:r w:rsidRPr="00170AF5">
        <w:rPr>
          <w:rFonts w:ascii="Times" w:hAnsi="Times" w:cs="Times"/>
        </w:rPr>
        <w:t xml:space="preserve"> degree laceration</w:t>
      </w:r>
      <w:r w:rsidR="00170AF5" w:rsidRPr="00170AF5">
        <w:rPr>
          <w:rFonts w:ascii="Times" w:hAnsi="Times" w:cs="Times"/>
        </w:rPr>
        <w:t>,</w:t>
      </w:r>
      <w:r w:rsidRPr="00170AF5">
        <w:rPr>
          <w:rFonts w:ascii="Times" w:hAnsi="Times" w:cs="Times"/>
        </w:rPr>
        <w:t xml:space="preserve"> and episiotomy (</w:t>
      </w:r>
      <w:r w:rsidR="003F6623" w:rsidRPr="00170AF5">
        <w:rPr>
          <w:rFonts w:ascii="Times" w:hAnsi="Times" w:cs="Times"/>
        </w:rPr>
        <w:t>a</w:t>
      </w:r>
      <w:r w:rsidRPr="00170AF5">
        <w:rPr>
          <w:rFonts w:ascii="Times" w:hAnsi="Times" w:cs="Times"/>
        </w:rPr>
        <w:t xml:space="preserve">RR </w:t>
      </w:r>
      <w:r w:rsidR="00170AF5" w:rsidRPr="00170AF5">
        <w:rPr>
          <w:rFonts w:ascii="Times" w:hAnsi="Times" w:cs="Times"/>
        </w:rPr>
        <w:t xml:space="preserve">1.25, 95% CI 1.16, 1.33; aRR </w:t>
      </w:r>
      <w:r w:rsidRPr="00170AF5">
        <w:rPr>
          <w:rFonts w:ascii="Times" w:hAnsi="Times" w:cs="Times"/>
        </w:rPr>
        <w:t>2.32, 95% CI</w:t>
      </w:r>
      <w:r w:rsidR="00170AF5">
        <w:rPr>
          <w:rFonts w:ascii="Times" w:hAnsi="Times" w:cs="Times"/>
        </w:rPr>
        <w:t xml:space="preserve"> </w:t>
      </w:r>
      <w:r w:rsidRPr="00170AF5">
        <w:rPr>
          <w:rFonts w:ascii="Times" w:hAnsi="Times" w:cs="Times"/>
        </w:rPr>
        <w:t xml:space="preserve">1.95, 2.55; </w:t>
      </w:r>
      <w:r w:rsidR="00F37C82" w:rsidRPr="00170AF5">
        <w:rPr>
          <w:rFonts w:ascii="Times" w:hAnsi="Times" w:cs="Times"/>
        </w:rPr>
        <w:t>a</w:t>
      </w:r>
      <w:r w:rsidR="003F6623" w:rsidRPr="00170AF5">
        <w:rPr>
          <w:rFonts w:ascii="Times" w:hAnsi="Times" w:cs="Times"/>
        </w:rPr>
        <w:t>R</w:t>
      </w:r>
      <w:r w:rsidRPr="00170AF5">
        <w:rPr>
          <w:rFonts w:ascii="Times" w:hAnsi="Times" w:cs="Times"/>
        </w:rPr>
        <w:t>R 1.</w:t>
      </w:r>
      <w:r w:rsidR="00170AF5" w:rsidRPr="00170AF5">
        <w:rPr>
          <w:rFonts w:ascii="Times" w:hAnsi="Times" w:cs="Times"/>
        </w:rPr>
        <w:t>38</w:t>
      </w:r>
      <w:r w:rsidRPr="00170AF5">
        <w:rPr>
          <w:rFonts w:ascii="Times" w:hAnsi="Times" w:cs="Times"/>
        </w:rPr>
        <w:t>, 95% CI 1.</w:t>
      </w:r>
      <w:r w:rsidR="00170AF5" w:rsidRPr="00170AF5">
        <w:rPr>
          <w:rFonts w:ascii="Times" w:hAnsi="Times" w:cs="Times"/>
        </w:rPr>
        <w:t>18, 1.60</w:t>
      </w:r>
      <w:r w:rsidRPr="00170AF5">
        <w:rPr>
          <w:rFonts w:ascii="Times" w:hAnsi="Times" w:cs="Times"/>
        </w:rPr>
        <w:t>, respectively).</w:t>
      </w:r>
      <w:r w:rsidR="00170AF5">
        <w:rPr>
          <w:rFonts w:ascii="Times" w:hAnsi="Times" w:cs="Times"/>
        </w:rPr>
        <w:t xml:space="preserve"> Hispanic/ Latinx, NH </w:t>
      </w:r>
      <w:r w:rsidR="00E05DF8">
        <w:rPr>
          <w:rFonts w:ascii="Times" w:hAnsi="Times" w:cs="Times"/>
        </w:rPr>
        <w:t>Indigenous</w:t>
      </w:r>
      <w:r w:rsidR="00170AF5">
        <w:rPr>
          <w:rFonts w:ascii="Times" w:hAnsi="Times" w:cs="Times"/>
        </w:rPr>
        <w:t xml:space="preserve">, and NH Multiple Race patients had increased risk of SMM </w:t>
      </w:r>
      <w:r w:rsidR="00170AF5" w:rsidRPr="00170AF5">
        <w:rPr>
          <w:rFonts w:ascii="Times" w:hAnsi="Times" w:cs="Times"/>
        </w:rPr>
        <w:t>(aRR 1.</w:t>
      </w:r>
      <w:r w:rsidR="00170AF5">
        <w:rPr>
          <w:rFonts w:ascii="Times" w:hAnsi="Times" w:cs="Times"/>
        </w:rPr>
        <w:t>48</w:t>
      </w:r>
      <w:r w:rsidR="00170AF5" w:rsidRPr="00170AF5">
        <w:rPr>
          <w:rFonts w:ascii="Times" w:hAnsi="Times" w:cs="Times"/>
        </w:rPr>
        <w:t>, 95% CI 1.</w:t>
      </w:r>
      <w:r w:rsidR="00170AF5">
        <w:rPr>
          <w:rFonts w:ascii="Times" w:hAnsi="Times" w:cs="Times"/>
        </w:rPr>
        <w:t>20, 1.86</w:t>
      </w:r>
      <w:r w:rsidR="00170AF5" w:rsidRPr="00170AF5">
        <w:rPr>
          <w:rFonts w:ascii="Times" w:hAnsi="Times" w:cs="Times"/>
        </w:rPr>
        <w:t xml:space="preserve">; aRR </w:t>
      </w:r>
      <w:r w:rsidR="00170AF5">
        <w:rPr>
          <w:rFonts w:ascii="Times" w:hAnsi="Times" w:cs="Times"/>
        </w:rPr>
        <w:t>2.11</w:t>
      </w:r>
      <w:r w:rsidR="00170AF5" w:rsidRPr="00170AF5">
        <w:rPr>
          <w:rFonts w:ascii="Times" w:hAnsi="Times" w:cs="Times"/>
        </w:rPr>
        <w:t>, 95% CI</w:t>
      </w:r>
      <w:r w:rsidR="00170AF5">
        <w:rPr>
          <w:rFonts w:ascii="Times" w:hAnsi="Times" w:cs="Times"/>
        </w:rPr>
        <w:t xml:space="preserve"> </w:t>
      </w:r>
      <w:r w:rsidR="00170AF5" w:rsidRPr="00170AF5">
        <w:rPr>
          <w:rFonts w:ascii="Times" w:hAnsi="Times" w:cs="Times"/>
        </w:rPr>
        <w:t>1.</w:t>
      </w:r>
      <w:r w:rsidR="00170AF5">
        <w:rPr>
          <w:rFonts w:ascii="Times" w:hAnsi="Times" w:cs="Times"/>
        </w:rPr>
        <w:t>23, 3.54</w:t>
      </w:r>
      <w:r w:rsidR="00170AF5" w:rsidRPr="00170AF5">
        <w:rPr>
          <w:rFonts w:ascii="Times" w:hAnsi="Times" w:cs="Times"/>
        </w:rPr>
        <w:t>; aRR 1.</w:t>
      </w:r>
      <w:r w:rsidR="00170AF5">
        <w:rPr>
          <w:rFonts w:ascii="Times" w:hAnsi="Times" w:cs="Times"/>
        </w:rPr>
        <w:t>76</w:t>
      </w:r>
      <w:r w:rsidR="00170AF5" w:rsidRPr="00170AF5">
        <w:rPr>
          <w:rFonts w:ascii="Times" w:hAnsi="Times" w:cs="Times"/>
        </w:rPr>
        <w:t>, 95% CI 1.</w:t>
      </w:r>
      <w:r w:rsidR="00170AF5">
        <w:rPr>
          <w:rFonts w:ascii="Times" w:hAnsi="Times" w:cs="Times"/>
        </w:rPr>
        <w:t>01, 3.24</w:t>
      </w:r>
      <w:r w:rsidR="00170AF5" w:rsidRPr="00170AF5">
        <w:rPr>
          <w:rFonts w:ascii="Times" w:hAnsi="Times" w:cs="Times"/>
        </w:rPr>
        <w:t>, respectively).</w:t>
      </w:r>
      <w:r w:rsidR="00170AF5">
        <w:rPr>
          <w:rFonts w:ascii="Times" w:hAnsi="Times" w:cs="Times"/>
        </w:rPr>
        <w:t xml:space="preserve"> </w:t>
      </w:r>
      <w:r>
        <w:rPr>
          <w:rFonts w:ascii="Times" w:hAnsi="Times" w:cs="Times"/>
        </w:rPr>
        <w:t xml:space="preserve">Hispanic/ Latinx patients with preterm birth were less </w:t>
      </w:r>
      <w:r w:rsidR="008D0F90">
        <w:rPr>
          <w:rFonts w:ascii="Times" w:hAnsi="Times" w:cs="Times"/>
        </w:rPr>
        <w:t>likely</w:t>
      </w:r>
      <w:r>
        <w:rPr>
          <w:rFonts w:ascii="Times" w:hAnsi="Times" w:cs="Times"/>
        </w:rPr>
        <w:t xml:space="preserve"> to receive antenatal steroids (</w:t>
      </w:r>
      <w:r w:rsidR="00D0520B">
        <w:rPr>
          <w:rFonts w:ascii="Times" w:hAnsi="Times" w:cs="Times"/>
        </w:rPr>
        <w:t>R</w:t>
      </w:r>
      <w:r>
        <w:rPr>
          <w:rFonts w:ascii="Times" w:hAnsi="Times" w:cs="Times"/>
        </w:rPr>
        <w:t xml:space="preserve">R 0.74, 95% CI 0.63, 0.86). </w:t>
      </w:r>
    </w:p>
    <w:p w14:paraId="5BAC108C" w14:textId="77777777" w:rsidR="001E4A88" w:rsidRPr="00A2066A" w:rsidRDefault="001E4A88" w:rsidP="00A2066A">
      <w:pPr>
        <w:pStyle w:val="NormalWeb"/>
        <w:spacing w:before="0" w:beforeAutospacing="0" w:after="0" w:afterAutospacing="0"/>
      </w:pPr>
    </w:p>
    <w:p w14:paraId="713668A5" w14:textId="6050B54C" w:rsidR="00A2066A" w:rsidRPr="00A2066A" w:rsidRDefault="00A2066A" w:rsidP="00A2066A">
      <w:pPr>
        <w:pStyle w:val="NormalWeb"/>
        <w:spacing w:before="0" w:beforeAutospacing="0" w:after="0" w:afterAutospacing="0"/>
      </w:pPr>
      <w:r w:rsidRPr="00A2066A">
        <w:rPr>
          <w:i/>
          <w:iCs/>
        </w:rPr>
        <w:t>Conclusions</w:t>
      </w:r>
      <w:r w:rsidRPr="00A2066A">
        <w:t>:</w:t>
      </w:r>
      <w:r w:rsidR="00E837AF">
        <w:t xml:space="preserve"> </w:t>
      </w:r>
      <w:r w:rsidR="00F37C82">
        <w:t>N</w:t>
      </w:r>
      <w:r w:rsidR="004A537D" w:rsidRPr="004A537D">
        <w:t>on-White patients</w:t>
      </w:r>
      <w:r w:rsidR="00F37C82">
        <w:t xml:space="preserve">, compared with </w:t>
      </w:r>
      <w:r w:rsidR="00E05DF8">
        <w:t>W</w:t>
      </w:r>
      <w:r w:rsidR="00F37C82">
        <w:t>hite patients,</w:t>
      </w:r>
      <w:r w:rsidR="004A537D" w:rsidRPr="004A537D">
        <w:t xml:space="preserve"> in the Northwest, United States </w:t>
      </w:r>
      <w:r w:rsidR="00F37C82">
        <w:t>are</w:t>
      </w:r>
      <w:r w:rsidR="004A537D" w:rsidRPr="004A537D">
        <w:t xml:space="preserve"> at greater risk of adverse </w:t>
      </w:r>
      <w:r w:rsidR="003F6623" w:rsidRPr="004A537D">
        <w:t xml:space="preserve">obstetric outcomes. </w:t>
      </w:r>
      <w:r w:rsidR="00942A82">
        <w:t xml:space="preserve">Further, </w:t>
      </w:r>
      <w:r w:rsidR="004A537D" w:rsidRPr="004A537D">
        <w:t>process measures</w:t>
      </w:r>
      <w:r w:rsidR="003F6623" w:rsidRPr="004A537D">
        <w:t xml:space="preserve"> </w:t>
      </w:r>
      <w:r w:rsidR="004A537D" w:rsidRPr="004A537D">
        <w:t>in obstetrics care differ by race/ ethnicity</w:t>
      </w:r>
      <w:r w:rsidR="00E05DF8">
        <w:t xml:space="preserve"> in this region</w:t>
      </w:r>
      <w:r w:rsidR="004A537D" w:rsidRPr="004A537D">
        <w:t>.</w:t>
      </w:r>
      <w:r w:rsidR="004A537D">
        <w:t xml:space="preserve"> </w:t>
      </w:r>
    </w:p>
    <w:p w14:paraId="7AF6C060" w14:textId="500424E4" w:rsidR="00004A97" w:rsidRDefault="00004A97">
      <w:pPr>
        <w:rPr>
          <w:rFonts w:ascii="Times" w:hAnsi="Times"/>
          <w:b/>
          <w:bCs/>
        </w:rPr>
      </w:pPr>
    </w:p>
    <w:p w14:paraId="4A0824CE" w14:textId="3578D4D8" w:rsidR="00E05DF8" w:rsidRDefault="00E05DF8">
      <w:pPr>
        <w:rPr>
          <w:rFonts w:ascii="Times" w:hAnsi="Times"/>
          <w:b/>
          <w:bCs/>
        </w:rPr>
      </w:pPr>
    </w:p>
    <w:p w14:paraId="778A2C6B" w14:textId="0AD70FCB" w:rsidR="00E05DF8" w:rsidRDefault="00E05DF8">
      <w:pPr>
        <w:rPr>
          <w:rFonts w:ascii="Times" w:hAnsi="Times"/>
          <w:b/>
          <w:bCs/>
        </w:rPr>
      </w:pPr>
    </w:p>
    <w:p w14:paraId="7785893A" w14:textId="58EE75E6" w:rsidR="00E05DF8" w:rsidRDefault="00E05DF8">
      <w:pPr>
        <w:rPr>
          <w:rFonts w:ascii="Times" w:hAnsi="Times"/>
          <w:b/>
          <w:bCs/>
        </w:rPr>
      </w:pPr>
    </w:p>
    <w:p w14:paraId="4F2DCDE6" w14:textId="2B40C620" w:rsidR="00E05DF8" w:rsidRDefault="00E05DF8">
      <w:pPr>
        <w:rPr>
          <w:rFonts w:ascii="Times" w:hAnsi="Times"/>
          <w:b/>
          <w:bCs/>
        </w:rPr>
      </w:pPr>
    </w:p>
    <w:p w14:paraId="6EFD7DBB" w14:textId="0DCD7369" w:rsidR="00E05DF8" w:rsidRDefault="00E05DF8">
      <w:pPr>
        <w:rPr>
          <w:rFonts w:ascii="Times" w:hAnsi="Times"/>
          <w:b/>
          <w:bCs/>
        </w:rPr>
      </w:pPr>
    </w:p>
    <w:p w14:paraId="1DD13C04" w14:textId="7EF83A1E" w:rsidR="00E05DF8" w:rsidRDefault="00E05DF8">
      <w:pPr>
        <w:rPr>
          <w:rFonts w:ascii="Times" w:hAnsi="Times"/>
          <w:b/>
          <w:bCs/>
        </w:rPr>
      </w:pPr>
    </w:p>
    <w:p w14:paraId="13DA9AD8" w14:textId="44731361" w:rsidR="00E05DF8" w:rsidRDefault="00E05DF8">
      <w:pPr>
        <w:rPr>
          <w:rFonts w:ascii="Times" w:hAnsi="Times"/>
          <w:b/>
          <w:bCs/>
        </w:rPr>
      </w:pPr>
    </w:p>
    <w:p w14:paraId="0DBB51F3" w14:textId="6643855B" w:rsidR="00E05DF8" w:rsidRDefault="00E05DF8">
      <w:pPr>
        <w:rPr>
          <w:rFonts w:ascii="Times" w:hAnsi="Times"/>
          <w:b/>
          <w:bCs/>
        </w:rPr>
      </w:pPr>
    </w:p>
    <w:p w14:paraId="475FE919" w14:textId="457E3348" w:rsidR="00E05DF8" w:rsidRDefault="00E05DF8">
      <w:pPr>
        <w:rPr>
          <w:rFonts w:ascii="Times" w:hAnsi="Times"/>
          <w:b/>
          <w:bCs/>
        </w:rPr>
      </w:pPr>
    </w:p>
    <w:p w14:paraId="15822AC6" w14:textId="3DAFAAB2" w:rsidR="00E05DF8" w:rsidRDefault="00E05DF8">
      <w:pPr>
        <w:rPr>
          <w:rFonts w:ascii="Times" w:hAnsi="Times"/>
          <w:b/>
          <w:bCs/>
        </w:rPr>
      </w:pPr>
    </w:p>
    <w:p w14:paraId="1734546B" w14:textId="4D9759F9" w:rsidR="00E05DF8" w:rsidRDefault="00E05DF8">
      <w:pPr>
        <w:rPr>
          <w:rFonts w:ascii="Times" w:hAnsi="Times"/>
          <w:b/>
          <w:bCs/>
        </w:rPr>
      </w:pPr>
    </w:p>
    <w:p w14:paraId="42637BC6" w14:textId="7D903E5B" w:rsidR="00E05DF8" w:rsidRDefault="00E05DF8">
      <w:pPr>
        <w:rPr>
          <w:rFonts w:ascii="Times" w:hAnsi="Times"/>
          <w:b/>
          <w:bCs/>
        </w:rPr>
      </w:pPr>
    </w:p>
    <w:p w14:paraId="21B52AB0" w14:textId="3E335EB4" w:rsidR="00E05DF8" w:rsidRDefault="00E05DF8">
      <w:pPr>
        <w:rPr>
          <w:rFonts w:ascii="Times" w:hAnsi="Times"/>
          <w:b/>
          <w:bCs/>
        </w:rPr>
      </w:pPr>
    </w:p>
    <w:p w14:paraId="53C50524" w14:textId="4863298B" w:rsidR="00E05DF8" w:rsidRDefault="00E05DF8">
      <w:pPr>
        <w:rPr>
          <w:rFonts w:ascii="Times" w:hAnsi="Times"/>
          <w:b/>
          <w:bCs/>
        </w:rPr>
      </w:pPr>
    </w:p>
    <w:p w14:paraId="1F3D8FD1" w14:textId="77777777" w:rsidR="00E05DF8" w:rsidRDefault="00E05DF8">
      <w:pPr>
        <w:rPr>
          <w:rFonts w:ascii="Times" w:hAnsi="Times"/>
          <w:b/>
          <w:bCs/>
        </w:rPr>
      </w:pPr>
    </w:p>
    <w:p w14:paraId="4F5967C5" w14:textId="5340E0A3" w:rsidR="00D652CE" w:rsidRPr="00F263B5" w:rsidRDefault="00F02B5F" w:rsidP="00296F2D">
      <w:pPr>
        <w:spacing w:before="100" w:beforeAutospacing="1" w:after="100" w:afterAutospacing="1"/>
        <w:rPr>
          <w:rFonts w:ascii="Times" w:hAnsi="Times"/>
          <w:color w:val="538135" w:themeColor="accent6" w:themeShade="BF"/>
        </w:rPr>
      </w:pPr>
      <w:r w:rsidRPr="00F263B5">
        <w:rPr>
          <w:rFonts w:ascii="Times" w:hAnsi="Times"/>
          <w:b/>
          <w:bCs/>
        </w:rPr>
        <w:lastRenderedPageBreak/>
        <w:t>Introduction</w:t>
      </w:r>
    </w:p>
    <w:p w14:paraId="33EEC4B6" w14:textId="2DD71A68" w:rsidR="00E87DC8" w:rsidRDefault="00F02B5F" w:rsidP="00AF18A7">
      <w:pPr>
        <w:pStyle w:val="NormalWeb"/>
        <w:spacing w:before="0" w:beforeAutospacing="0" w:after="0" w:afterAutospacing="0" w:line="480" w:lineRule="auto"/>
        <w:ind w:firstLine="720"/>
        <w:rPr>
          <w:rFonts w:ascii="Times" w:hAnsi="Times" w:cs="Times"/>
        </w:rPr>
      </w:pPr>
      <w:r>
        <w:rPr>
          <w:rFonts w:ascii="Times" w:hAnsi="Times" w:cs="Times"/>
        </w:rPr>
        <w:t>Racia</w:t>
      </w:r>
      <w:r w:rsidR="00AE70DB">
        <w:rPr>
          <w:rFonts w:ascii="Times" w:hAnsi="Times" w:cs="Times"/>
        </w:rPr>
        <w:t>l</w:t>
      </w:r>
      <w:r w:rsidR="004C355A">
        <w:rPr>
          <w:rFonts w:ascii="Times" w:hAnsi="Times" w:cs="Times"/>
        </w:rPr>
        <w:t xml:space="preserve"> and </w:t>
      </w:r>
      <w:r w:rsidR="00AE70DB">
        <w:rPr>
          <w:rFonts w:ascii="Times" w:hAnsi="Times" w:cs="Times"/>
        </w:rPr>
        <w:t>e</w:t>
      </w:r>
      <w:r>
        <w:rPr>
          <w:rFonts w:ascii="Times" w:hAnsi="Times" w:cs="Times"/>
        </w:rPr>
        <w:t xml:space="preserve">thnic disparities in </w:t>
      </w:r>
      <w:r w:rsidR="006A2A4C">
        <w:rPr>
          <w:rFonts w:ascii="Times" w:hAnsi="Times" w:cs="Times"/>
        </w:rPr>
        <w:t xml:space="preserve">adverse </w:t>
      </w:r>
      <w:r w:rsidR="008870C2">
        <w:rPr>
          <w:rFonts w:ascii="Times" w:hAnsi="Times" w:cs="Times"/>
        </w:rPr>
        <w:t>obstetric</w:t>
      </w:r>
      <w:r w:rsidR="00870B00">
        <w:rPr>
          <w:rFonts w:ascii="Times" w:hAnsi="Times" w:cs="Times"/>
        </w:rPr>
        <w:t xml:space="preserve"> outcomes</w:t>
      </w:r>
      <w:r>
        <w:rPr>
          <w:rFonts w:ascii="Times" w:hAnsi="Times" w:cs="Times"/>
        </w:rPr>
        <w:t xml:space="preserve"> </w:t>
      </w:r>
      <w:r w:rsidR="005F6CA5">
        <w:rPr>
          <w:rFonts w:ascii="Times" w:hAnsi="Times" w:cs="Times"/>
        </w:rPr>
        <w:t xml:space="preserve">represent </w:t>
      </w:r>
      <w:r>
        <w:rPr>
          <w:rFonts w:ascii="Times" w:hAnsi="Times" w:cs="Times"/>
        </w:rPr>
        <w:t>a significant public health problem in the United States</w:t>
      </w:r>
      <w:r w:rsidR="00470812">
        <w:rPr>
          <w:rFonts w:ascii="Times" w:hAnsi="Times" w:cs="Times"/>
        </w:rPr>
        <w:fldChar w:fldCharType="begin" w:fldLock="1"/>
      </w:r>
      <w:r w:rsidR="0086621D">
        <w:rPr>
          <w:rFonts w:ascii="Times" w:hAnsi="Times" w:cs="Times"/>
        </w:rPr>
        <w:instrText>ADDIN CSL_CITATION {"citationItems":[{"id":"ITEM-1","itemData":{"DOI":"10.1016/j.ajog.2009.10.864","ISSN":"00029378","abstract":"Wide disparities in obstetric outcomes exist between women of different race/ethnicities. The prevalence of preterm birth, fetal growth restriction, fetal demise, maternal mortality, and inadequate receipt of prenatal care all vary by maternal race/ethnicity. These disparities have their roots in maternal health behaviors, genetics, the physical and social environments, and access to and quality of health care. Elimination of the health inequities because of sociocultural differences or access to or quality of health care will require a multidisciplinary approach. We aim to describe these obstetric disparities, with an eye toward potential etiologies, thereby improving our ability to target appropriate solutions. © 2010 Mosby, Inc. All rights reserved.","author":[{"dropping-particle":"","family":"Bryant","given":"Allison S.","non-dropping-particle":"","parse-names":false,"suffix":""},{"dropping-particle":"","family":"Worjoloh","given":"Ayaba","non-dropping-particle":"","parse-names":false,"suffix":""},{"dropping-particle":"","family":"Caughey","given":"Aaron B.","non-dropping-particle":"","parse-names":false,"suffix":""},{"dropping-particle":"","family":"Washington","given":"A. Eugene","non-dropping-particle":"","parse-names":false,"suffix":""}],"container-title":"American Journal of Obstetrics and Gynecology","id":"ITEM-1","issue":"4","issued":{"date-parts":[["2010","4"]]},"page":"335-343","publisher":"Am J Obstet Gynecol","title":"Racial/ethnic disparities in obstetric outcomes and care: prevalence and determinants","type":"article","volume":"202"},"uris":["http://www.mendeley.com/documents/?uuid=7ae78b12-6da6-3fd8-a43e-933f221c14a7"]},{"id":"ITEM-2","itemData":{"DOI":"10.1097/AOG.0000000000002937","ISSN":"1873233X","PMID":"30303912","abstract":"OBJECTIVE: To describe racial and ethnic disparities in the incidence of severe maternal morbidity during delivery hospitalizations in the United States. METHODS: We conducted a pooled, cross-sectional analysis of 2012-2015 data from the National Inpatient Sample to define the prevalence of chronic conditions and incidence of severe maternal morbidity among deliveries to non-Hispanic white, non-Hispanic black, Hispanic, Asian or Pacific Islander, and Native American or Alaska Native women. We used weighted multivariable logistic regression and predictive margins to generate prevalence and incidence estimates. Adjusted rate ratios and differences were calculated to quantify disparities across racial and ethnic categories. Subgroup analyses were performed to examine the incidence of severe maternal morbidity among deliveries to women with comorbid physical health conditions, behavioral health conditions, and multiple chronic conditions within each racial and ethnic category. RESULTS: The incidence of severe maternal morbidity was significantly higher among deliveries to women in every racial and ethnic minority category compared with deliveries among non-Hispanic white women. Severe maternal morbidity occurred in 231.1 (95% CI 223.6-238.5) and 139.2 (95% CI 136.4-142.0) per 10,000 delivery hospitalizations among non-Hispanic black and non-Hispanic white women, respectively (P,.001). When excluding cases in which blood transfusion was the only indicator of severe maternal morbidity, only deliveries to non-Hispanic black women had a higher incidence of severe maternal morbidity compared with deliveries among non-Hispanic white women: 50.2 (95% CI 47.6-52.9) and 40.9 (95% CI 39.6-42.3) per 10,000 delivery hospitalizations, respectively (risk ratio 1.2 [95% CI 1.2-1.3], risk difference 9.3 [95% CI 6.5-12.2] per 10,000 delivery hospitalizations; P,.001 for each comparison). Among deliveries to women with comorbid physical and behavioral health conditions, significant differences in severe maternal morbidity were identified among racial and ethnic minority compared with non-Hispanic white women and the largest disparities were identified among women with multiple chronic conditions. CONCLUSION: Programs for reducing racial and ethnic disparities in severe maternal morbidity may have the greatest effect focusing on women at highest risk for blood transfusion and maternity care management for women with comorbid chronic conditions, particularly multiple chronic c…","author":[{"dropping-particle":"","family":"Admon","given":"Lindsay K.","non-dropping-particle":"","parse-names":false,"suffix":""},{"dropping-particle":"","family":"Winkelman","given":"Tyler N.A.","non-dropping-particle":"","parse-names":false,"suffix":""},{"dropping-particle":"","family":"Zivin","given":"Kara","non-dropping-particle":"","parse-names":false,"suffix":""},{"dropping-particle":"","family":"Terplan","given":"Mishka","non-dropping-particle":"","parse-names":false,"suffix":""},{"dropping-particle":"","family":"Mhyre","given":"Jill M.","non-dropping-particle":"","parse-names":false,"suffix":""},{"dropping-particle":"","family":"Dalton","given":"Vanessa K.","non-dropping-particle":"","parse-names":false,"suffix":""}],"container-title":"Obstetrics and Gynecology","id":"ITEM-2","issue":"5","issued":{"date-parts":[["2018"]]},"page":"1158-1166","publisher":"Lippincott Williams and Wilkins","title":"Racial and ethnic disparities in the incidence of severe maternal morbidity in the United States, 2012-2015","type":"article-journal","volume":"132"},"uris":["http://www.mendeley.com/documents/?uuid=2093001f-0943-366d-a5c6-18317801cdbf"]},{"id":"ITEM-3","itemData":{"DOI":"10.15585/mmwr.mm6818e1","ISSN":"0149-2195","abstract":"Background: Approximately 700 women die from pregnancy-related complications in the United States every year. Methods: Data from CDC’s national Pregnancy Mortality Surveillance System (PMSS) for 2011–2015 were analyzed. Pregnancy-related mortality ratios (pregnancy-related deaths per 100,000 live births; PRMRs) were calculated overall and by sociodemographic characteristics. The distribution of pregnancy-related deaths by timing relative to the end of pregnancy and leading causes of death were calculated. Detailed data on pregnancy-related deaths during 2013–2017 from 13 state maternal mortality review committees (MMRCs) were analyzed for preventability, factors that contributed to pregnancy-related deaths, and MMRC-identified prevention strategies to address contributing factors. Results: For 2011–2015, the national PRMR was 17.2 per 100,000 live births. Non-Hispanic black (black) women and American Indian/Alaska Native women had the highest PRMRs (42.8 and 32.5, respectively), 3.3 and 2.5 times as high, respectively, as the PRMR for non-Hispanic white (white) women (13.0). Timing of death was known for 87.7% (2,990) of pregnancy-related deaths. Among these deaths, 31.3% occurred during pregnancy, 16.9% on the day of delivery, 18.6% 1–6 days postpartum, 21.4% 7–42 days postpartum, and 11.7% 43–365 days postpartum. Leading causes of death included cardiovascular conditions, infection, and hemorrhage, and varied by timing. Approximately sixty percent of pregnancy-related deaths from state MMRCs were determined to be preventable and did not differ significantly by race/ethnicity or timing of death. MMRC data indicated that multiple factors contributed to pregnancy-related deaths. Contributing factors and prevention strategies can be categorized at the community, health facility, patient, provider, and system levels and include improving access to, and coordination and delivery of, quality care. Conclusions: Pregnancy-related deaths occurred during pregnancy, around the time of delivery, and up to 1 year postpartum; leading causes varied by timing of death. Approximately three in five pregnancy-related deaths were preventable. Implications for Public Health Practice: Strategies to address contributing factors to pregnancy-related deaths can be enacted at the community, health facility, patient, provider, and system levels.","author":[{"dropping-particle":"","family":"Petersen","given":"Emily E.","non-dropping-particle":"","parse-names":false,"suffix":""},{"dropping-particle":"","family":"Davis","given":"Nicole L.","non-dropping-particle":"","parse-names":false,"suffix":""},{"dropping-particle":"","family":"Goodman","given":"David","non-dropping-particle":"","parse-names":false,"suffix":""},{"dropping-particle":"","family":"Cox","given":"Shanna","non-dropping-particle":"","parse-names":false,"suffix":""},{"dropping-particle":"","family":"Mayes","given":"Nikki","non-dropping-particle":"","parse-names":false,"suffix":""},{"dropping-particle":"","family":"Johnston","given":"Emily","non-dropping-particle":"","parse-names":false,"suffix":""},{"dropping-particle":"","family":"Syverson","given":"Carla","non-dropping-particle":"","parse-names":false,"suffix":""},{"dropping-particle":"","family":"Seed","given":"Kristi","non-dropping-particle":"","parse-names":false,"suffix":""},{"dropping-particle":"","family":"Shapiro-Mendoza","given":"Carrie K.","non-dropping-particle":"","parse-names":false,"suffix":""},{"dropping-particle":"","family":"Callaghan","given":"William M.","non-dropping-particle":"","parse-names":false,"suffix":""},{"dropping-particle":"","family":"Barfield","given":"Wanda","non-dropping-particle":"","parse-names":false,"suffix":""}],"container-title":"MMWR. Morbidity and Mortality Weekly Report","id":"ITEM-3","issue":"18","issued":{"date-parts":[["2019","5","7"]]},"page":"423-429","publisher":"Department of Health and Human Services","title":"&lt;i&gt;Vital Signs:&lt;/i&gt; Pregnancy-Related Deaths, United States, 2011–2015, and Strategies for Prevention, 13 States, 2013–2017","type":"article-journal","volume":"68"},"uris":["http://www.mendeley.com/documents/?uuid=b1609e76-efcf-3d53-a57b-c24bc9398b10"]}],"mendeley":{"formattedCitation":"&lt;sup&gt;1–3&lt;/sup&gt;","plainTextFormattedCitation":"1–3","previouslyFormattedCitation":"&lt;sup&gt;1–3&lt;/sup&gt;"},"properties":{"noteIndex":0},"schema":"https://github.com/citation-style-language/schema/raw/master/csl-citation.json"}</w:instrText>
      </w:r>
      <w:r w:rsidR="00470812">
        <w:rPr>
          <w:rFonts w:ascii="Times" w:hAnsi="Times" w:cs="Times"/>
        </w:rPr>
        <w:fldChar w:fldCharType="separate"/>
      </w:r>
      <w:r w:rsidR="004A537D" w:rsidRPr="004A537D">
        <w:rPr>
          <w:rFonts w:ascii="Times" w:hAnsi="Times" w:cs="Times"/>
          <w:noProof/>
          <w:vertAlign w:val="superscript"/>
        </w:rPr>
        <w:t>1–3</w:t>
      </w:r>
      <w:r w:rsidR="00470812">
        <w:rPr>
          <w:rFonts w:ascii="Times" w:hAnsi="Times" w:cs="Times"/>
        </w:rPr>
        <w:fldChar w:fldCharType="end"/>
      </w:r>
      <w:r>
        <w:rPr>
          <w:rFonts w:ascii="Times" w:hAnsi="Times" w:cs="Times"/>
        </w:rPr>
        <w:t>.</w:t>
      </w:r>
      <w:r w:rsidR="00870B00">
        <w:rPr>
          <w:rFonts w:ascii="Times" w:hAnsi="Times" w:cs="Times"/>
        </w:rPr>
        <w:t xml:space="preserve"> </w:t>
      </w:r>
      <w:r w:rsidR="00A671B7">
        <w:rPr>
          <w:rFonts w:ascii="Times" w:hAnsi="Times" w:cs="Times"/>
        </w:rPr>
        <w:t>Non-Hispanic</w:t>
      </w:r>
      <w:r w:rsidR="000E2103">
        <w:rPr>
          <w:rFonts w:ascii="Times" w:hAnsi="Times" w:cs="Times"/>
        </w:rPr>
        <w:t xml:space="preserve"> (NH)</w:t>
      </w:r>
      <w:r w:rsidR="00A671B7">
        <w:rPr>
          <w:rFonts w:ascii="Times" w:hAnsi="Times" w:cs="Times"/>
        </w:rPr>
        <w:t xml:space="preserve"> Black </w:t>
      </w:r>
      <w:r w:rsidR="00072530">
        <w:rPr>
          <w:rFonts w:ascii="Times" w:hAnsi="Times" w:cs="Times"/>
        </w:rPr>
        <w:t>and Indigenous</w:t>
      </w:r>
      <w:r w:rsidR="0030456F">
        <w:rPr>
          <w:rFonts w:ascii="Times" w:hAnsi="Times" w:cs="Times"/>
        </w:rPr>
        <w:t xml:space="preserve"> </w:t>
      </w:r>
      <w:r w:rsidR="000E2103">
        <w:rPr>
          <w:rFonts w:ascii="Times" w:hAnsi="Times" w:cs="Times"/>
        </w:rPr>
        <w:t>persons</w:t>
      </w:r>
      <w:r w:rsidR="00A671B7">
        <w:rPr>
          <w:rFonts w:ascii="Times" w:hAnsi="Times" w:cs="Times"/>
        </w:rPr>
        <w:t xml:space="preserve"> </w:t>
      </w:r>
      <w:r w:rsidR="00072530">
        <w:rPr>
          <w:rFonts w:ascii="Times" w:hAnsi="Times" w:cs="Times"/>
        </w:rPr>
        <w:t xml:space="preserve">had a 3.3 and 2.5 times greater </w:t>
      </w:r>
      <w:r w:rsidR="00A671B7">
        <w:rPr>
          <w:rFonts w:ascii="Times" w:hAnsi="Times" w:cs="Times"/>
        </w:rPr>
        <w:t>risk</w:t>
      </w:r>
      <w:r w:rsidR="00072530">
        <w:rPr>
          <w:rFonts w:ascii="Times" w:hAnsi="Times" w:cs="Times"/>
        </w:rPr>
        <w:t>, respectively,</w:t>
      </w:r>
      <w:r w:rsidR="00A671B7">
        <w:rPr>
          <w:rFonts w:ascii="Times" w:hAnsi="Times" w:cs="Times"/>
        </w:rPr>
        <w:t xml:space="preserve"> of </w:t>
      </w:r>
      <w:r w:rsidR="00072530">
        <w:rPr>
          <w:rFonts w:ascii="Times" w:hAnsi="Times" w:cs="Times"/>
        </w:rPr>
        <w:t>pregnancy-related mortality</w:t>
      </w:r>
      <w:r w:rsidR="00C93A8B">
        <w:rPr>
          <w:rFonts w:ascii="Times" w:hAnsi="Times" w:cs="Times"/>
        </w:rPr>
        <w:t xml:space="preserve">, and 2.1 and 1.7 times greater risk, respectively, of </w:t>
      </w:r>
      <w:r w:rsidR="00072530">
        <w:rPr>
          <w:rFonts w:ascii="Times" w:hAnsi="Times" w:cs="Times"/>
        </w:rPr>
        <w:t xml:space="preserve"> </w:t>
      </w:r>
      <w:r w:rsidR="00C93A8B">
        <w:rPr>
          <w:rFonts w:ascii="Times" w:hAnsi="Times" w:cs="Times"/>
        </w:rPr>
        <w:t>severe maternal morbidity (SMM)</w:t>
      </w:r>
      <w:r w:rsidR="00431092">
        <w:rPr>
          <w:rFonts w:ascii="Times" w:hAnsi="Times" w:cs="Times"/>
        </w:rPr>
        <w:t>,</w:t>
      </w:r>
      <w:r w:rsidR="00C93A8B">
        <w:rPr>
          <w:rFonts w:ascii="Times" w:hAnsi="Times" w:cs="Times"/>
        </w:rPr>
        <w:t xml:space="preserve"> </w:t>
      </w:r>
      <w:r w:rsidR="00072530">
        <w:rPr>
          <w:rFonts w:ascii="Times" w:hAnsi="Times" w:cs="Times"/>
        </w:rPr>
        <w:t xml:space="preserve">compared to </w:t>
      </w:r>
      <w:r w:rsidR="000E2103">
        <w:rPr>
          <w:rFonts w:ascii="Times" w:hAnsi="Times" w:cs="Times"/>
        </w:rPr>
        <w:t xml:space="preserve">NH </w:t>
      </w:r>
      <w:r w:rsidR="00072530">
        <w:rPr>
          <w:rFonts w:ascii="Times" w:hAnsi="Times" w:cs="Times"/>
        </w:rPr>
        <w:t xml:space="preserve">White </w:t>
      </w:r>
      <w:r w:rsidR="000E2103">
        <w:rPr>
          <w:rFonts w:ascii="Times" w:hAnsi="Times" w:cs="Times"/>
        </w:rPr>
        <w:t>persons</w:t>
      </w:r>
      <w:r w:rsidR="00F1474E">
        <w:rPr>
          <w:rFonts w:ascii="Times" w:hAnsi="Times" w:cs="Times"/>
        </w:rPr>
        <w:fldChar w:fldCharType="begin" w:fldLock="1"/>
      </w:r>
      <w:r w:rsidR="00F1474E">
        <w:rPr>
          <w:rFonts w:ascii="Times" w:hAnsi="Times" w:cs="Times"/>
        </w:rPr>
        <w:instrText>ADDIN CSL_CITATION {"citationItems":[{"id":"ITEM-1","itemData":{"DOI":"10.15585/mmwr.mm6818e1","ISSN":"0149-2195","abstract":"Background: Approximately 700 women die from pregnancy-related complications in the United States every year. Methods: Data from CDC’s national Pregnancy Mortality Surveillance System (PMSS) for 2011–2015 were analyzed. Pregnancy-related mortality ratios (pregnancy-related deaths per 100,000 live births; PRMRs) were calculated overall and by sociodemographic characteristics. The distribution of pregnancy-related deaths by timing relative to the end of pregnancy and leading causes of death were calculated. Detailed data on pregnancy-related deaths during 2013–2017 from 13 state maternal mortality review committees (MMRCs) were analyzed for preventability, factors that contributed to pregnancy-related deaths, and MMRC-identified prevention strategies to address contributing factors. Results: For 2011–2015, the national PRMR was 17.2 per 100,000 live births. Non-Hispanic black (black) women and American Indian/Alaska Native women had the highest PRMRs (42.8 and 32.5, respectively), 3.3 and 2.5 times as high, respectively, as the PRMR for non-Hispanic white (white) women (13.0). Timing of death was known for 87.7% (2,990) of pregnancy-related deaths. Among these deaths, 31.3% occurred during pregnancy, 16.9% on the day of delivery, 18.6% 1–6 days postpartum, 21.4% 7–42 days postpartum, and 11.7% 43–365 days postpartum. Leading causes of death included cardiovascular conditions, infection, and hemorrhage, and varied by timing. Approximately sixty percent of pregnancy-related deaths from state MMRCs were determined to be preventable and did not differ significantly by race/ethnicity or timing of death. MMRC data indicated that multiple factors contributed to pregnancy-related deaths. Contributing factors and prevention strategies can be categorized at the community, health facility, patient, provider, and system levels and include improving access to, and coordination and delivery of, quality care. Conclusions: Pregnancy-related deaths occurred during pregnancy, around the time of delivery, and up to 1 year postpartum; leading causes varied by timing of death. Approximately three in five pregnancy-related deaths were preventable. Implications for Public Health Practice: Strategies to address contributing factors to pregnancy-related deaths can be enacted at the community, health facility, patient, provider, and system levels.","author":[{"dropping-particle":"","family":"Petersen","given":"Emily E.","non-dropping-particle":"","parse-names":false,"suffix":""},{"dropping-particle":"","family":"Davis","given":"Nicole L.","non-dropping-particle":"","parse-names":false,"suffix":""},{"dropping-particle":"","family":"Goodman","given":"David","non-dropping-particle":"","parse-names":false,"suffix":""},{"dropping-particle":"","family":"Cox","given":"Shanna","non-dropping-particle":"","parse-names":false,"suffix":""},{"dropping-particle":"","family":"Mayes","given":"Nikki","non-dropping-particle":"","parse-names":false,"suffix":""},{"dropping-particle":"","family":"Johnston","given":"Emily","non-dropping-particle":"","parse-names":false,"suffix":""},{"dropping-particle":"","family":"Syverson","given":"Carla","non-dropping-particle":"","parse-names":false,"suffix":""},{"dropping-particle":"","family":"Seed","given":"Kristi","non-dropping-particle":"","parse-names":false,"suffix":""},{"dropping-particle":"","family":"Shapiro-Mendoza","given":"Carrie K.","non-dropping-particle":"","parse-names":false,"suffix":""},{"dropping-particle":"","family":"Callaghan","given":"William M.","non-dropping-particle":"","parse-names":false,"suffix":""},{"dropping-particle":"","family":"Barfield","given":"Wanda","non-dropping-particle":"","parse-names":false,"suffix":""}],"container-title":"MMWR. Morbidity and Mortality Weekly Report","id":"ITEM-1","issue":"18","issued":{"date-parts":[["2019","5","7"]]},"page":"423-429","publisher":"Department of Health and Human Services","title":"&lt;i&gt;Vital Signs:&lt;/i&gt; Pregnancy-Related Deaths, United States, 2011–2015, and Strategies for Prevention, 13 States, 2013–2017","type":"article-journal","volume":"68"},"uris":["http://www.mendeley.com/documents/?uuid=b1609e76-efcf-3d53-a57b-c24bc9398b10"]},{"id":"ITEM-2","itemData":{"DOI":"10.1016/j.ajog.2013.11.039","ISSN":"10976868","PMID":"24295922","abstract":"Objective The purpose of this study was to examine racial and ethnic disparities in severe maternal morbidity during delivery hospitalizations in the United States. Study Design We identified delivery hospitalizations from 2008-2010 in State Inpatient Databases from 7 states. We used International Classification of Diseases, 9th Revision, codes to create severe maternal morbidity indicators during delivery hospitalizations. We calculated the rates of severe maternal morbidity that were measured with and without blood transfusion for 5 racial/ethnic groups: non-Hispanic white, non-Hispanic black, Hispanic, Asian/Pacific Islander, and American Indian/Alaska Native women. Poisson regression models were fitted to explore the associations between race/ethnicity and severe maternal morbidity after we controlled for potential confounders. Results Overall, severe maternal morbidity rates that were measured with and without blood transfusion were 150.7 and 64.3 per 10,000 delivery hospitalizations, respectively. Non-Hispanic black, Hispanic, Asian/Pacific Islander, and American Indian/Alaska Native women had 2.1, 1.3, 1.2, and 1.7 times (all P &lt;.05), respectively, higher rates of severe morbidity that were measured with blood transfusion compared with non-Hispanic white women; similar increased rates were observed when severe morbidity was measured without blood transfusion. Other significant positive predictors of severe morbidity were age &lt;20 and ≥30 years, self-pay or Medicaid coverage for delivery, low socioeconomic status, and presence of chronic medical conditions. Conclusion Severe maternal morbidity disproportionally affects racial/ethnic minority women, especially non-Hispanic black women. There is a need for a systematic review of severe maternal morbidities at the facility, state, and national levels to guide the development of quality improvement interventions to reduce the racial/ethnic disparities in severe maternal morbidity. © 2014 Mosby, Inc. All rights reserved.","author":[{"dropping-particle":"","family":"Creanga","given":"Andreea A.","non-dropping-particle":"","parse-names":false,"suffix":""},{"dropping-particle":"","family":"Bateman","given":"Brian T.","non-dropping-particle":"","parse-names":false,"suffix":""},{"dropping-particle":"V.","family":"Kuklina","given":"Elena","non-dropping-particle":"","parse-names":false,"suffix":""},{"dropping-particle":"","family":"Callaghan","given":"William M.","non-dropping-particle":"","parse-names":false,"suffix":""}],"container-title":"American Journal of Obstetrics and Gynecology","id":"ITEM-2","issue":"5","issued":{"date-parts":[["2014"]]},"page":"435.e1-435.e8","publisher":"Mosby Inc.","title":"Racial and ethnic disparities in severe maternal morbidity: A multistate analysis, 2008-2010","type":"article-journal","volume":"210"},"uris":["http://www.mendeley.com/documents/?uuid=94381b46-6d47-3625-907c-14ccdcf1f8ac"]}],"mendeley":{"formattedCitation":"&lt;sup&gt;3,4&lt;/sup&gt;","plainTextFormattedCitation":"3,4","previouslyFormattedCitation":"&lt;sup&gt;3,4&lt;/sup&gt;"},"properties":{"noteIndex":0},"schema":"https://github.com/citation-style-language/schema/raw/master/csl-citation.json"}</w:instrText>
      </w:r>
      <w:r w:rsidR="00F1474E">
        <w:rPr>
          <w:rFonts w:ascii="Times" w:hAnsi="Times" w:cs="Times"/>
        </w:rPr>
        <w:fldChar w:fldCharType="separate"/>
      </w:r>
      <w:r w:rsidR="00F1474E" w:rsidRPr="00F1474E">
        <w:rPr>
          <w:rFonts w:ascii="Times" w:hAnsi="Times" w:cs="Times"/>
          <w:noProof/>
          <w:vertAlign w:val="superscript"/>
        </w:rPr>
        <w:t>3,4</w:t>
      </w:r>
      <w:r w:rsidR="00F1474E">
        <w:rPr>
          <w:rFonts w:ascii="Times" w:hAnsi="Times" w:cs="Times"/>
        </w:rPr>
        <w:fldChar w:fldCharType="end"/>
      </w:r>
      <w:r w:rsidR="00F1474E">
        <w:rPr>
          <w:rFonts w:ascii="Times" w:hAnsi="Times" w:cs="Times"/>
        </w:rPr>
        <w:t>.</w:t>
      </w:r>
      <w:r w:rsidR="00AE70DB">
        <w:rPr>
          <w:rFonts w:ascii="Times" w:hAnsi="Times" w:cs="Times"/>
        </w:rPr>
        <w:t xml:space="preserve"> </w:t>
      </w:r>
      <w:r w:rsidR="00887581">
        <w:rPr>
          <w:rFonts w:ascii="Times" w:hAnsi="Times" w:cs="Times"/>
        </w:rPr>
        <w:t>Research has also demonstrated racial</w:t>
      </w:r>
      <w:r w:rsidR="00D71C18">
        <w:rPr>
          <w:rFonts w:ascii="Times" w:hAnsi="Times" w:cs="Times"/>
        </w:rPr>
        <w:t>/ ethnic</w:t>
      </w:r>
      <w:r w:rsidR="00887581">
        <w:rPr>
          <w:rFonts w:ascii="Times" w:hAnsi="Times" w:cs="Times"/>
        </w:rPr>
        <w:t xml:space="preserve"> disparities in </w:t>
      </w:r>
      <w:r w:rsidR="00C93A8B">
        <w:rPr>
          <w:rFonts w:ascii="Times" w:hAnsi="Times" w:cs="Times"/>
        </w:rPr>
        <w:t>obstetric</w:t>
      </w:r>
      <w:r w:rsidR="0006363F">
        <w:rPr>
          <w:rFonts w:ascii="Times" w:hAnsi="Times" w:cs="Times"/>
        </w:rPr>
        <w:t xml:space="preserve"> </w:t>
      </w:r>
      <w:r w:rsidR="00887581">
        <w:rPr>
          <w:rFonts w:ascii="Times" w:hAnsi="Times" w:cs="Times"/>
        </w:rPr>
        <w:t xml:space="preserve">process </w:t>
      </w:r>
      <w:r w:rsidR="00E05DF8">
        <w:rPr>
          <w:rFonts w:ascii="Times" w:hAnsi="Times" w:cs="Times"/>
        </w:rPr>
        <w:t>measure</w:t>
      </w:r>
      <w:r w:rsidR="0006363F">
        <w:rPr>
          <w:rFonts w:ascii="Times" w:hAnsi="Times" w:cs="Times"/>
        </w:rPr>
        <w:t xml:space="preserve">s, which are </w:t>
      </w:r>
      <w:r w:rsidR="00431092">
        <w:rPr>
          <w:rFonts w:ascii="Times" w:hAnsi="Times" w:cs="Times"/>
        </w:rPr>
        <w:t xml:space="preserve">treatments and interventions that aim to reduce likelihood of adverse outcomes or prevent </w:t>
      </w:r>
      <w:r w:rsidR="006660C9">
        <w:rPr>
          <w:rFonts w:ascii="Times" w:hAnsi="Times" w:cs="Times"/>
        </w:rPr>
        <w:t>worsening</w:t>
      </w:r>
      <w:r w:rsidR="00431092">
        <w:rPr>
          <w:rFonts w:ascii="Times" w:hAnsi="Times" w:cs="Times"/>
        </w:rPr>
        <w:t xml:space="preserve"> of</w:t>
      </w:r>
      <w:r w:rsidR="00DE08B1">
        <w:rPr>
          <w:rFonts w:ascii="Times" w:hAnsi="Times" w:cs="Times"/>
        </w:rPr>
        <w:t xml:space="preserve"> conditions</w:t>
      </w:r>
      <w:r w:rsidR="00DE08B1">
        <w:rPr>
          <w:rFonts w:ascii="Times" w:hAnsi="Times" w:cs="Times"/>
        </w:rPr>
        <w:fldChar w:fldCharType="begin" w:fldLock="1"/>
      </w:r>
      <w:r w:rsidR="00EC497E">
        <w:rPr>
          <w:rFonts w:ascii="Times" w:hAnsi="Times" w:cs="Times"/>
        </w:rPr>
        <w:instrText>ADDIN CSL_CITATION {"citationItems":[{"id":"ITEM-1","itemData":{"DOI":"10.1016/j.ajog.2020.07.015","ISSN":"10976868","PMID":"32679210","author":[{"dropping-particle":"","family":"Gulersen","given":"Moti","non-dropping-particle":"","parse-names":false,"suffix":""},{"dropping-particle":"","family":"Grunebaum","given":"Amos","non-dropping-particle":"","parse-names":false,"suffix":""},{"dropping-particle":"","family":"Lenchner","given":"Erez","non-dropping-particle":"","parse-names":false,"suffix":""},{"dropping-particle":"","family":"Chervenak","given":"Frank A.","non-dropping-particle":"","parse-names":false,"suffix":""},{"dropping-particle":"","family":"Bornstein","given":"Eran","non-dropping-particle":"","parse-names":false,"suffix":""}],"container-title":"American Journal of Obstetrics and Gynecology","id":"ITEM-1","issue":"6","issued":{"date-parts":[["2020"]]},"publisher":"Mosby Inc.","title":"Racial disparities in the administration of antenatal corticosteroids in women with preterm birth","type":"article","volume":"223"},"uris":["http://www.mendeley.com/documents/?uuid=4a92f1ac-b357-3a2e-917b-9b92a8bd6a7b"]},{"id":"ITEM-2","itemData":{"DOI":"10.1016/j.ajog.2016.06.048","abstract":"The practice of medicine continues to evolve, and individual circumstances will vary. This publication reflects information available at the time of its submission for publication and is neither designed nor intended to establish an exclusive standard of perinatal care. This publication is not expected to reflect the opinions of all members of the Society for Maternal-Fetal Medicine. Heath care measurement and evaluation is an integral piece of the health care system. The creation and assessment of care performance metrics are important and relevant for the obstetric community including both clinicians and patients. Careful deliberation is required to create a measurement system that results in optimal care for women and families. This article reviews the current approaches to measuring quality in obstetrics.","author":[{"dropping-particle":"","family":"Bailit","given":"Jennifer L","non-dropping-particle":"","parse-names":false,"suffix":""},{"dropping-particle":"","family":"Gregory","given":"Kimberly D","non-dropping-particle":"","parse-names":false,"suffix":""},{"dropping-particle":"","family":"Srinivas","given":"Sindhu","non-dropping-particle":"","parse-names":false,"suffix":""},{"dropping-particle":"","family":"Westover","given":"Thomas","non-dropping-particle":"","parse-names":false,"suffix":""},{"dropping-particle":"","family":"Grobman","given":"William A","non-dropping-particle":"","parse-names":false,"suffix":""},{"dropping-particle":"","family":"Saade","given":"George R","non-dropping-particle":"","parse-names":false,"suffix":""}],"container-title":"The American Journal of Obstetrics &amp; Gynecology","id":"ITEM-2","issued":{"date-parts":[["2016"]]},"number-of-pages":"B8-B16","title":"Society for Maternal-Fetal Medicine (SMFM) Special Report: Current approaches to measuring quality of care in obstetrics","type":"report","volume":"215"},"uris":["http://www.mendeley.com/documents/?uuid=3c3c5829-5ed9-3446-8012-b541ea30e566"]}],"mendeley":{"formattedCitation":"&lt;sup&gt;5,6&lt;/sup&gt;","plainTextFormattedCitation":"5,6","previouslyFormattedCitation":"&lt;sup&gt;5,6&lt;/sup&gt;"},"properties":{"noteIndex":0},"schema":"https://github.com/citation-style-language/schema/raw/master/csl-citation.json"}</w:instrText>
      </w:r>
      <w:r w:rsidR="00DE08B1">
        <w:rPr>
          <w:rFonts w:ascii="Times" w:hAnsi="Times" w:cs="Times"/>
        </w:rPr>
        <w:fldChar w:fldCharType="separate"/>
      </w:r>
      <w:r w:rsidR="00DE08B1" w:rsidRPr="00DE08B1">
        <w:rPr>
          <w:rFonts w:ascii="Times" w:hAnsi="Times" w:cs="Times"/>
          <w:noProof/>
          <w:vertAlign w:val="superscript"/>
        </w:rPr>
        <w:t>5,6</w:t>
      </w:r>
      <w:r w:rsidR="00DE08B1">
        <w:rPr>
          <w:rFonts w:ascii="Times" w:hAnsi="Times" w:cs="Times"/>
        </w:rPr>
        <w:fldChar w:fldCharType="end"/>
      </w:r>
      <w:r w:rsidR="00DE08B1">
        <w:rPr>
          <w:rFonts w:ascii="Times" w:hAnsi="Times" w:cs="Times"/>
        </w:rPr>
        <w:t>.</w:t>
      </w:r>
      <w:r w:rsidR="00C30D43">
        <w:rPr>
          <w:rFonts w:ascii="Times" w:hAnsi="Times" w:cs="Times"/>
        </w:rPr>
        <w:t xml:space="preserve"> </w:t>
      </w:r>
      <w:r w:rsidR="00555857">
        <w:rPr>
          <w:rFonts w:ascii="Times" w:hAnsi="Times" w:cs="Times"/>
        </w:rPr>
        <w:t>Since more than 6</w:t>
      </w:r>
      <w:r w:rsidR="00F1474E">
        <w:rPr>
          <w:rFonts w:ascii="Times" w:hAnsi="Times" w:cs="Times"/>
        </w:rPr>
        <w:t>5</w:t>
      </w:r>
      <w:r w:rsidR="00555857">
        <w:rPr>
          <w:rFonts w:ascii="Times" w:hAnsi="Times" w:cs="Times"/>
        </w:rPr>
        <w:t>% of maternal deaths are preventable</w:t>
      </w:r>
      <w:r w:rsidR="00F1474E">
        <w:rPr>
          <w:rFonts w:ascii="Times" w:hAnsi="Times" w:cs="Times"/>
        </w:rPr>
        <w:fldChar w:fldCharType="begin" w:fldLock="1"/>
      </w:r>
      <w:r w:rsidR="00DE08B1">
        <w:rPr>
          <w:rFonts w:ascii="Times" w:hAnsi="Times" w:cs="Times"/>
        </w:rPr>
        <w:instrText>ADDIN CSL_CITATION {"citationItems":[{"id":"ITEM-1","itemData":{"author":[{"dropping-particle":"","family":"Davis","given":"Nicole","non-dropping-particle":"","parse-names":false,"suffix":""},{"dropping-particle":"","family":"Smoots","given":"Ashley","non-dropping-particle":"","parse-names":false,"suffix":""},{"dropping-particle":"","family":"Goodman","given":"David","non-dropping-particle":"","parse-names":false,"suffix":""}],"id":"ITEM-1","issued":{"date-parts":[["2019"]]},"publisher-place":"Atlanta","title":"Pregnancy-Related Deaths: Data from 14 U.S. Maternal Mortality Review Committees, 2008-2017","type":"report"},"uris":["http://www.mendeley.com/documents/?uuid=e9d35b5e-8c76-3c13-b0ff-d323c05ed0c1"]}],"mendeley":{"formattedCitation":"&lt;sup&gt;7&lt;/sup&gt;","plainTextFormattedCitation":"7","previouslyFormattedCitation":"&lt;sup&gt;7&lt;/sup&gt;"},"properties":{"noteIndex":0},"schema":"https://github.com/citation-style-language/schema/raw/master/csl-citation.json"}</w:instrText>
      </w:r>
      <w:r w:rsidR="00F1474E">
        <w:rPr>
          <w:rFonts w:ascii="Times" w:hAnsi="Times" w:cs="Times"/>
        </w:rPr>
        <w:fldChar w:fldCharType="separate"/>
      </w:r>
      <w:r w:rsidR="00DE08B1" w:rsidRPr="00DE08B1">
        <w:rPr>
          <w:rFonts w:ascii="Times" w:hAnsi="Times" w:cs="Times"/>
          <w:noProof/>
          <w:vertAlign w:val="superscript"/>
        </w:rPr>
        <w:t>7</w:t>
      </w:r>
      <w:r w:rsidR="00F1474E">
        <w:rPr>
          <w:rFonts w:ascii="Times" w:hAnsi="Times" w:cs="Times"/>
        </w:rPr>
        <w:fldChar w:fldCharType="end"/>
      </w:r>
      <w:r w:rsidR="00555857">
        <w:rPr>
          <w:rFonts w:ascii="Times" w:hAnsi="Times" w:cs="Times"/>
        </w:rPr>
        <w:t>, b</w:t>
      </w:r>
      <w:r w:rsidR="00736B7A" w:rsidRPr="00736B7A">
        <w:rPr>
          <w:rFonts w:ascii="Times" w:hAnsi="Times" w:cs="Times"/>
        </w:rPr>
        <w:t>etter understanding of racial/ethnic disparities in obstetric process measures, particularly those</w:t>
      </w:r>
      <w:r w:rsidR="0006363F">
        <w:rPr>
          <w:rFonts w:ascii="Times" w:hAnsi="Times" w:cs="Times"/>
        </w:rPr>
        <w:t xml:space="preserve"> </w:t>
      </w:r>
      <w:r w:rsidR="00736B7A" w:rsidRPr="00736B7A">
        <w:rPr>
          <w:rFonts w:ascii="Times" w:hAnsi="Times" w:cs="Times"/>
        </w:rPr>
        <w:t xml:space="preserve">that are immediately actionable, has the potential to </w:t>
      </w:r>
      <w:r w:rsidR="009D04B1">
        <w:rPr>
          <w:rFonts w:ascii="Times" w:hAnsi="Times" w:cs="Times"/>
        </w:rPr>
        <w:t>promote equity in</w:t>
      </w:r>
      <w:r w:rsidR="00736B7A" w:rsidRPr="00736B7A">
        <w:rPr>
          <w:rFonts w:ascii="Times" w:hAnsi="Times" w:cs="Times"/>
        </w:rPr>
        <w:t xml:space="preserve"> obstetric outcome</w:t>
      </w:r>
      <w:r w:rsidR="009D04B1">
        <w:rPr>
          <w:rFonts w:ascii="Times" w:hAnsi="Times" w:cs="Times"/>
        </w:rPr>
        <w:t>s</w:t>
      </w:r>
      <w:r w:rsidR="00736B7A">
        <w:rPr>
          <w:rFonts w:ascii="Times" w:hAnsi="Times" w:cs="Times"/>
        </w:rPr>
        <w:t>.</w:t>
      </w:r>
    </w:p>
    <w:p w14:paraId="3670D0D7" w14:textId="0E87D707" w:rsidR="00B85DC7" w:rsidRPr="00602B85" w:rsidRDefault="000E2103" w:rsidP="00602B85">
      <w:pPr>
        <w:pStyle w:val="NormalWeb"/>
        <w:spacing w:before="0" w:beforeAutospacing="0" w:after="0" w:afterAutospacing="0" w:line="480" w:lineRule="auto"/>
        <w:ind w:firstLine="720"/>
        <w:rPr>
          <w:rFonts w:ascii="Times" w:hAnsi="Times" w:cs="Times"/>
        </w:rPr>
      </w:pPr>
      <w:r>
        <w:rPr>
          <w:rFonts w:ascii="Times" w:hAnsi="Times" w:cs="Times"/>
        </w:rPr>
        <w:t xml:space="preserve">The risk </w:t>
      </w:r>
      <w:r w:rsidRPr="00EC497E">
        <w:rPr>
          <w:rFonts w:ascii="Times" w:hAnsi="Times" w:cs="Times"/>
        </w:rPr>
        <w:t>of adverse</w:t>
      </w:r>
      <w:r w:rsidR="003312D3" w:rsidRPr="00EC497E">
        <w:rPr>
          <w:rFonts w:ascii="Times" w:hAnsi="Times" w:cs="Times"/>
        </w:rPr>
        <w:t xml:space="preserve"> obstetric outcomes </w:t>
      </w:r>
      <w:r w:rsidR="001A16F0" w:rsidRPr="00EC497E">
        <w:rPr>
          <w:rFonts w:ascii="Times" w:hAnsi="Times" w:cs="Times"/>
        </w:rPr>
        <w:t xml:space="preserve">and sub-optimal process </w:t>
      </w:r>
      <w:r w:rsidR="006660C9" w:rsidRPr="00EC497E">
        <w:rPr>
          <w:rFonts w:ascii="Times" w:hAnsi="Times" w:cs="Times"/>
        </w:rPr>
        <w:t>measures may</w:t>
      </w:r>
      <w:r w:rsidR="00B54C3D" w:rsidRPr="00EC497E">
        <w:rPr>
          <w:rFonts w:ascii="Times" w:hAnsi="Times" w:cs="Times"/>
        </w:rPr>
        <w:t xml:space="preserve"> vary by geographical location</w:t>
      </w:r>
      <w:r w:rsidR="00EC497E" w:rsidRPr="00EC497E">
        <w:rPr>
          <w:rFonts w:ascii="Times" w:hAnsi="Times" w:cs="Times"/>
        </w:rPr>
        <w:fldChar w:fldCharType="begin" w:fldLock="1"/>
      </w:r>
      <w:r w:rsidR="00EC497E" w:rsidRPr="00EC497E">
        <w:rPr>
          <w:rFonts w:ascii="Times" w:hAnsi="Times" w:cs="Times"/>
        </w:rPr>
        <w:instrText>ADDIN CSL_CITATION {"citationItems":[{"id":"ITEM-1","itemData":{"DOI":"10.1097/AOG.0000000000001864","ISSN":"1873233X","PMID":"28079772","abstract":"OBJECTIVE: To investigate differences in severe maternal morbidity between Hispanic mothers and three major Hispanic subgroups compared with non-Hispanic white mothers and the extent to which differences in delivery hospitals may contribute to excess morbidity among Hispanic mothers. METHODS: We conducted a population-based crosssectional study using linked 2011-2013 New York City discharge and birth certificate data sets (n=353,773). Rates of severe maternal morbidity were calculated using a published algorithm based on diagnosis and procedure codes. Mixed-effects logistic regression with a random hospital-specific intercept was used to generate riskstandardized severe maternal morbidity rates for each hospital taking into consideration patient sociodemographic characteristics and comorbidities. Differences in the distribution of Hispanic and non-Hispanic white deliveries were assessed among these hospitals in relation to their risk-adjusted morbidity. Sensitivity analyses were conducted after excluding isolated blood transfusion from the morbidity composite. RESULTS: Severe maternal morbidity occurred in 4,541 deliveries and was higher among Hispanic than non- Hispanic white women (2.7% compared with 1.5%, P&lt;.001); this rate was 2.9% among those who were Puerto Rican, 2.7% among those who were foreignborn Dominican, and 3.3% among those who were foreign-born Mexican. After adjustment for patient characteristics, the risk remained elevated for Hispanic women (odds ratio [OR] 1.42, 95% confidence interval [CI] 1.22-1.66) and for all three subgroups compared with non-Hispanic white women (P&lt;.001). Risk for Hispanic women was attenuated in sensitivity analyses (OR 1.17, 95% CI 1.02-1.33). Risk-standardized morbidity across hospitals varied sixfold. We estimate that Hispanic-non- Hispanic white differences in delivery location may contribute up to 37% of the ethnic disparity in severe maternal morbidity rates in New York City hospitals. CONCLUSION: Hispanic compared with non-Hispanic white mothers are more likely to deliver at hospitals with higher risk-adjusted severe maternal morbidity rates and these differences in site of delivery may contribute to excess morbidity among Hispanic mothers. Our results suggest improving quality at the lowest performing hospitals could benefit both non-Hispanic white and Hispanic women and reduce ethnic disparities in severe maternal morbidity rates.","author":[{"dropping-particle":"","family":"Howell","given":"Elizabeth A.","non-dropping-particle":"","parse-names":false,"suffix":""},{"dropping-particle":"","family":"Egorova","given":"Natalia N.","non-dropping-particle":"","parse-names":false,"suffix":""},{"dropping-particle":"","family":"Janevic","given":"Teresa","non-dropping-particle":"","parse-names":false,"suffix":""},{"dropping-particle":"","family":"Balbierz","given":"Amy","non-dropping-particle":"","parse-names":false,"suffix":""},{"dropping-particle":"","family":"Zeitlin","given":"Jennifer","non-dropping-particle":"","parse-names":false,"suffix":""},{"dropping-particle":"","family":"Hebert","given":"Paul L.","non-dropping-particle":"","parse-names":false,"suffix":""}],"container-title":"Obstetrics and Gynecology","id":"ITEM-1","issue":"2","issued":{"date-parts":[["2017"]]},"page":"285-294","publisher":"Lippincott Williams and Wilkins","title":"Severe maternal morbidity among Hispanic women in New York City: Investigation of health disparities","type":"paper-conference","volume":"129"},"uris":["http://www.mendeley.com/documents/?uuid=43fadd53-8ddb-3397-a8a9-b0e8415bdf7a"]},{"id":"ITEM-2","itemData":{"author":[{"dropping-particle":"","family":"Anderson","given":"Norman B","non-dropping-particle":"","parse-names":false,"suffix":""},{"dropping-particle":"","family":"Bulatao","given":"Rodolfo A","non-dropping-particle":"","parse-names":false,"suffix":""},{"dropping-particle":"","family":"Cohen","given":"Barney","non-dropping-particle":"","parse-names":false,"suffix":""},{"dropping-particle":"","family":"National Research Council (US) Panel on Race","given":"Ethnicity,\n and Health in Later Life","non-dropping-particle":"","parse-names":false,"suffix":""}],"id":"ITEM-2","issued":{"date-parts":[["2004"]]},"publisher":"National Academies Press (US)","title":"Geography and Racial Health Disparities","type":"article-journal"},"uris":["http://www.mendeley.com/documents/?uuid=71d40fb8-9b1e-3a54-b018-a9854bde9ffa"]},{"id":"ITEM-3","itemData":{"DOI":"10.1161/JAHA.119.014775","ISSN":"20479980","PMID":"31973601","abstract":"Background: Racial disparities contribute to maternal morbidity in the United States. Hypertension is associated with poor maternal outcomes, including stroke. Disparities in hypertension might contribute to maternal strokes. Methods and Results: Using billing data from the Healthcare Cost and Utilization Project's National Inpatient Sample, we analyzed the effect of race/ethnicity on stroke during delivery admission in women aged 18 to 54 years delivering in US hospitals from January 1, 1998, through December 31, 2014. We categorized hypertension as normotensive, chronic hypertension, or pregnancy-induced hypertension. Adjusted risk ratios (aRRs) and 95% CIs were calculated using log-linear Poisson regression models, testing for interactions between race/ethnicity and hypertensive status. A total of 65 286 425 women were admitted for delivery during the study period, of whom 7764 were diagnosed with a stroke (11.9 per 100 000 deliveries). Hypertension modified the effect of race/ethnicity (P&lt;0.0001 for interaction). Among women with pregnancy-induced hypertension, black and Hispanic women had higher stroke risk compared with non-Hispanic whites (blacks: aRR, 2.07; 95% CI, 1.86–2.30; Hispanics: aRR, 2.19; 95% CI, 1.98–2.43). Among women with chronic hypertension, all minority women had higher stroke risk (blacks: aRR, 1.71; 95% CI, 1.30–2.26; Hispanics: aRR, 1.75; 95% CI, 2.32–5.63; Asian/Pacific Islanders: aRR, 3.62; 95% CI, 2.32–5.63). Among normotensive women, only blacks had increased stroke risk (aRR, 1.17; 95% CI, 1.07–1.28). Conclusions: Pregnant US women from minority groups had higher stroke risk during delivery admissions, compared with non-Hispanic whites. The effect of race/ethnicity was larger in women with chronic hypertension or pregnancy-induced hypertension. Targeting blood pressure management in pregnancy may help reduce maternal stroke risk in minority populations.","author":[{"dropping-particle":"","family":"Miller","given":"Eliza C.","non-dropping-particle":"","parse-names":false,"suffix":""},{"dropping-particle":"","family":"Zambrano Espinoza","given":"Maria Daniela","non-dropping-particle":"","parse-names":false,"suffix":""},{"dropping-particle":"","family":"Huang","given":"Yongmei","non-dropping-particle":"","parse-names":false,"suffix":""},{"dropping-particle":"","family":"Friedman","given":"Alexander M.","non-dropping-particle":"","parse-names":false,"suffix":""},{"dropping-particle":"","family":"Boehme","given":"Amelia K.","non-dropping-particle":"","parse-names":false,"suffix":""},{"dropping-particle":"","family":"Bello","given":"Natalie A.","non-dropping-particle":"","parse-names":false,"suffix":""},{"dropping-particle":"","family":"Cleary","given":"Kirsten L.","non-dropping-particle":"","parse-names":false,"suffix":""},{"dropping-particle":"","family":"Wright","given":"Jason D.","non-dropping-particle":"","parse-names":false,"suffix":""},{"dropping-particle":"","family":"D'Alton","given":"Mary E.","non-dropping-particle":"","parse-names":false,"suffix":""}],"container-title":"Journal of the American Heart Association","id":"ITEM-3","issue":"3","issued":{"date-parts":[["2020","2","4"]]},"publisher":"American Heart Association Inc.","title":"Maternal Race/Ethnicity, Hypertension, and Risk for Stroke During Delivery Admission","type":"article-journal","volume":"9"},"uris":["http://www.mendeley.com/documents/?uuid=274ad361-1a3c-3073-9b7f-af09e2ebaac6"]}],"mendeley":{"formattedCitation":"&lt;sup&gt;8–10&lt;/sup&gt;","plainTextFormattedCitation":"8–10"},"properties":{"noteIndex":0},"schema":"https://github.com/citation-style-language/schema/raw/master/csl-citation.json"}</w:instrText>
      </w:r>
      <w:r w:rsidR="00EC497E" w:rsidRPr="00EC497E">
        <w:rPr>
          <w:rFonts w:ascii="Times" w:hAnsi="Times" w:cs="Times"/>
        </w:rPr>
        <w:fldChar w:fldCharType="separate"/>
      </w:r>
      <w:r w:rsidR="00EC497E" w:rsidRPr="00EC497E">
        <w:rPr>
          <w:rFonts w:ascii="Times" w:hAnsi="Times" w:cs="Times"/>
          <w:noProof/>
          <w:vertAlign w:val="superscript"/>
        </w:rPr>
        <w:t>8–10</w:t>
      </w:r>
      <w:r w:rsidR="00EC497E" w:rsidRPr="00EC497E">
        <w:rPr>
          <w:rFonts w:ascii="Times" w:hAnsi="Times" w:cs="Times"/>
        </w:rPr>
        <w:fldChar w:fldCharType="end"/>
      </w:r>
      <w:r w:rsidR="00EC497E" w:rsidRPr="00EC497E">
        <w:rPr>
          <w:rFonts w:ascii="Times" w:hAnsi="Times" w:cs="Times"/>
        </w:rPr>
        <w:t>. R</w:t>
      </w:r>
      <w:r w:rsidR="00736B7A" w:rsidRPr="00EC497E">
        <w:rPr>
          <w:rFonts w:ascii="Times" w:hAnsi="Times" w:cs="Times"/>
        </w:rPr>
        <w:t>acial/</w:t>
      </w:r>
      <w:r w:rsidR="00736B7A">
        <w:rPr>
          <w:rFonts w:ascii="Times" w:hAnsi="Times" w:cs="Times"/>
        </w:rPr>
        <w:t xml:space="preserve"> ethnic disparities in obstetric outcomes</w:t>
      </w:r>
      <w:r w:rsidR="00184F97">
        <w:rPr>
          <w:rFonts w:ascii="Times" w:hAnsi="Times" w:cs="Times"/>
        </w:rPr>
        <w:t xml:space="preserve">, which may </w:t>
      </w:r>
      <w:r w:rsidR="00EC497E">
        <w:rPr>
          <w:rFonts w:ascii="Times" w:hAnsi="Times" w:cs="Times"/>
        </w:rPr>
        <w:t xml:space="preserve">also </w:t>
      </w:r>
      <w:r w:rsidR="00184F97">
        <w:rPr>
          <w:rFonts w:ascii="Times" w:hAnsi="Times" w:cs="Times"/>
        </w:rPr>
        <w:t>vary by geographic region,</w:t>
      </w:r>
      <w:r w:rsidR="00736B7A">
        <w:rPr>
          <w:rFonts w:ascii="Times" w:hAnsi="Times" w:cs="Times"/>
        </w:rPr>
        <w:t xml:space="preserve"> </w:t>
      </w:r>
      <w:r w:rsidR="00184F97">
        <w:rPr>
          <w:rFonts w:ascii="Times" w:hAnsi="Times" w:cs="Times"/>
        </w:rPr>
        <w:t xml:space="preserve">as well as differences in racial/ethnic compositions of populations </w:t>
      </w:r>
      <w:r w:rsidR="00736B7A">
        <w:rPr>
          <w:rFonts w:ascii="Times" w:hAnsi="Times" w:cs="Times"/>
        </w:rPr>
        <w:t>may partially explain these regional differences</w:t>
      </w:r>
      <w:r w:rsidR="00DF05DD">
        <w:rPr>
          <w:rFonts w:ascii="Times" w:hAnsi="Times" w:cs="Times"/>
        </w:rPr>
        <w:t xml:space="preserve">. </w:t>
      </w:r>
      <w:r w:rsidR="00184F97">
        <w:rPr>
          <w:rFonts w:ascii="Times" w:hAnsi="Times" w:cs="Times"/>
        </w:rPr>
        <w:t>Therefore</w:t>
      </w:r>
      <w:r w:rsidR="003312D3">
        <w:rPr>
          <w:rFonts w:ascii="Times" w:hAnsi="Times" w:cs="Times"/>
        </w:rPr>
        <w:t>, a</w:t>
      </w:r>
      <w:r w:rsidR="00B54C3D">
        <w:rPr>
          <w:rFonts w:ascii="Times" w:hAnsi="Times" w:cs="Times"/>
        </w:rPr>
        <w:t xml:space="preserve">ccurate accounts of </w:t>
      </w:r>
      <w:r w:rsidR="00CF3E04">
        <w:rPr>
          <w:rFonts w:ascii="Times" w:hAnsi="Times" w:cs="Times"/>
        </w:rPr>
        <w:t xml:space="preserve">region-specific </w:t>
      </w:r>
      <w:r w:rsidR="003312D3">
        <w:rPr>
          <w:rFonts w:ascii="Times" w:hAnsi="Times" w:cs="Times"/>
        </w:rPr>
        <w:t>racial</w:t>
      </w:r>
      <w:r w:rsidR="00D27AD5">
        <w:rPr>
          <w:rFonts w:ascii="Times" w:hAnsi="Times" w:cs="Times"/>
        </w:rPr>
        <w:t>/</w:t>
      </w:r>
      <w:r w:rsidR="004C355A">
        <w:rPr>
          <w:rFonts w:ascii="Times" w:hAnsi="Times" w:cs="Times"/>
        </w:rPr>
        <w:t xml:space="preserve"> </w:t>
      </w:r>
      <w:r w:rsidR="003312D3">
        <w:rPr>
          <w:rFonts w:ascii="Times" w:hAnsi="Times" w:cs="Times"/>
        </w:rPr>
        <w:t xml:space="preserve">ethnic </w:t>
      </w:r>
      <w:r w:rsidR="00B54C3D">
        <w:rPr>
          <w:rFonts w:ascii="Times" w:hAnsi="Times" w:cs="Times"/>
        </w:rPr>
        <w:t xml:space="preserve">disparities </w:t>
      </w:r>
      <w:r w:rsidR="00C42643">
        <w:rPr>
          <w:rFonts w:ascii="Times" w:hAnsi="Times" w:cs="Times"/>
        </w:rPr>
        <w:t>in obstetric outcomes</w:t>
      </w:r>
      <w:r w:rsidR="00555857">
        <w:rPr>
          <w:rFonts w:ascii="Times" w:hAnsi="Times" w:cs="Times"/>
        </w:rPr>
        <w:t xml:space="preserve"> and process measures</w:t>
      </w:r>
      <w:r w:rsidR="00C42643">
        <w:rPr>
          <w:rFonts w:ascii="Times" w:hAnsi="Times" w:cs="Times"/>
        </w:rPr>
        <w:t xml:space="preserve"> are needed</w:t>
      </w:r>
      <w:r w:rsidR="00AE70DB">
        <w:rPr>
          <w:rFonts w:ascii="Times" w:hAnsi="Times" w:cs="Times"/>
        </w:rPr>
        <w:t xml:space="preserve">. </w:t>
      </w:r>
      <w:r w:rsidR="00CF3E04">
        <w:rPr>
          <w:rFonts w:ascii="Times" w:hAnsi="Times" w:cs="Times"/>
        </w:rPr>
        <w:t xml:space="preserve">To address </w:t>
      </w:r>
      <w:r w:rsidR="00CB7F8B">
        <w:rPr>
          <w:rFonts w:ascii="Times" w:hAnsi="Times" w:cs="Times"/>
        </w:rPr>
        <w:t>paucity of l</w:t>
      </w:r>
      <w:r w:rsidR="00206857">
        <w:rPr>
          <w:rFonts w:ascii="Times" w:hAnsi="Times" w:cs="Times"/>
        </w:rPr>
        <w:t>arge-sample</w:t>
      </w:r>
      <w:r w:rsidR="00CF3E04">
        <w:rPr>
          <w:rFonts w:ascii="Times" w:hAnsi="Times" w:cs="Times"/>
        </w:rPr>
        <w:t>,</w:t>
      </w:r>
      <w:r w:rsidR="00CB7F8B">
        <w:rPr>
          <w:rFonts w:ascii="Times" w:hAnsi="Times" w:cs="Times"/>
        </w:rPr>
        <w:t xml:space="preserve"> contemporary</w:t>
      </w:r>
      <w:r w:rsidR="00206857">
        <w:rPr>
          <w:rFonts w:ascii="Times" w:hAnsi="Times" w:cs="Times"/>
        </w:rPr>
        <w:t xml:space="preserve"> </w:t>
      </w:r>
      <w:r w:rsidR="0010004B">
        <w:rPr>
          <w:rFonts w:ascii="Times" w:hAnsi="Times" w:cs="Times"/>
        </w:rPr>
        <w:t>stud</w:t>
      </w:r>
      <w:r w:rsidR="00CB7F8B">
        <w:rPr>
          <w:rFonts w:ascii="Times" w:hAnsi="Times" w:cs="Times"/>
        </w:rPr>
        <w:t>ies</w:t>
      </w:r>
      <w:r w:rsidR="0010004B">
        <w:rPr>
          <w:rFonts w:ascii="Times" w:hAnsi="Times" w:cs="Times"/>
        </w:rPr>
        <w:t xml:space="preserve"> </w:t>
      </w:r>
      <w:r w:rsidR="00555857">
        <w:rPr>
          <w:rFonts w:ascii="Times" w:hAnsi="Times" w:cs="Times"/>
        </w:rPr>
        <w:t>addressing this issue</w:t>
      </w:r>
      <w:r w:rsidR="00CF3E04">
        <w:rPr>
          <w:rFonts w:ascii="Times" w:hAnsi="Times" w:cs="Times"/>
        </w:rPr>
        <w:t>, we</w:t>
      </w:r>
      <w:r w:rsidR="00D507EC" w:rsidRPr="00602B85">
        <w:rPr>
          <w:rFonts w:ascii="Times" w:hAnsi="Times" w:cs="Times"/>
        </w:rPr>
        <w:t xml:space="preserve"> </w:t>
      </w:r>
      <w:r w:rsidR="00184F97">
        <w:rPr>
          <w:rFonts w:ascii="Times" w:hAnsi="Times" w:cs="Times"/>
        </w:rPr>
        <w:t>examined</w:t>
      </w:r>
      <w:r w:rsidR="00184F97" w:rsidRPr="00602B85">
        <w:rPr>
          <w:rFonts w:ascii="Times" w:hAnsi="Times" w:cs="Times"/>
        </w:rPr>
        <w:t xml:space="preserve"> </w:t>
      </w:r>
      <w:r w:rsidR="00D507EC" w:rsidRPr="00602B85">
        <w:rPr>
          <w:rFonts w:ascii="Times" w:hAnsi="Times" w:cs="Times"/>
        </w:rPr>
        <w:t>racial</w:t>
      </w:r>
      <w:r w:rsidR="00D507EC">
        <w:rPr>
          <w:rFonts w:ascii="Times" w:hAnsi="Times" w:cs="Times"/>
        </w:rPr>
        <w:t>/</w:t>
      </w:r>
      <w:r w:rsidR="00D507EC" w:rsidRPr="00602B85">
        <w:rPr>
          <w:rFonts w:ascii="Times" w:hAnsi="Times" w:cs="Times"/>
        </w:rPr>
        <w:t xml:space="preserve">ethnic disparities in obstetric outcomes and process </w:t>
      </w:r>
      <w:r w:rsidR="00E05DF8">
        <w:rPr>
          <w:rFonts w:ascii="Times" w:hAnsi="Times" w:cs="Times"/>
        </w:rPr>
        <w:t>measure</w:t>
      </w:r>
      <w:r w:rsidR="00576B62">
        <w:rPr>
          <w:rFonts w:ascii="Times" w:hAnsi="Times" w:cs="Times"/>
        </w:rPr>
        <w:t>s</w:t>
      </w:r>
      <w:r w:rsidR="00D507EC" w:rsidRPr="00602B85">
        <w:rPr>
          <w:rFonts w:ascii="Times" w:hAnsi="Times" w:cs="Times"/>
        </w:rPr>
        <w:t xml:space="preserve"> in </w:t>
      </w:r>
      <w:r w:rsidR="00184F97">
        <w:rPr>
          <w:rFonts w:ascii="Times" w:hAnsi="Times" w:cs="Times"/>
        </w:rPr>
        <w:t>Washington State</w:t>
      </w:r>
      <w:r w:rsidR="00CF3E04">
        <w:rPr>
          <w:rFonts w:ascii="Times" w:hAnsi="Times" w:cs="Times"/>
        </w:rPr>
        <w:t xml:space="preserve"> using</w:t>
      </w:r>
      <w:r w:rsidR="00576B62">
        <w:rPr>
          <w:rFonts w:ascii="Times" w:hAnsi="Times" w:cs="Times"/>
        </w:rPr>
        <w:t xml:space="preserve"> data from a</w:t>
      </w:r>
      <w:r w:rsidR="00CF3E04">
        <w:rPr>
          <w:rFonts w:ascii="Times" w:hAnsi="Times" w:cs="Times"/>
        </w:rPr>
        <w:t xml:space="preserve"> perinatal quality improvement collaborative</w:t>
      </w:r>
      <w:r w:rsidR="00D507EC">
        <w:rPr>
          <w:rFonts w:ascii="Times" w:hAnsi="Times" w:cs="Times"/>
        </w:rPr>
        <w:t xml:space="preserve">. </w:t>
      </w:r>
    </w:p>
    <w:p w14:paraId="2108A039" w14:textId="77777777" w:rsidR="003D7E9F" w:rsidRPr="00E010B7" w:rsidRDefault="003D7E9F" w:rsidP="00E010B7">
      <w:pPr>
        <w:pStyle w:val="NormalWeb"/>
        <w:spacing w:before="0" w:beforeAutospacing="0" w:after="0" w:afterAutospacing="0" w:line="480" w:lineRule="auto"/>
        <w:rPr>
          <w:b/>
          <w:bCs/>
        </w:rPr>
      </w:pPr>
      <w:r w:rsidRPr="00E010B7">
        <w:rPr>
          <w:b/>
          <w:bCs/>
        </w:rPr>
        <w:t>Methods</w:t>
      </w:r>
    </w:p>
    <w:p w14:paraId="62F7758F" w14:textId="3A9A0A7A" w:rsidR="006955DE" w:rsidRDefault="006955DE" w:rsidP="00206857">
      <w:pPr>
        <w:spacing w:line="480" w:lineRule="auto"/>
        <w:contextualSpacing/>
        <w:jc w:val="both"/>
      </w:pPr>
      <w:r w:rsidRPr="00206857">
        <w:rPr>
          <w:u w:val="single"/>
        </w:rPr>
        <w:t>Study Setting:</w:t>
      </w:r>
      <w:r>
        <w:t xml:space="preserve"> </w:t>
      </w:r>
      <w:r w:rsidR="00A35BF9" w:rsidRPr="00E010B7">
        <w:t xml:space="preserve">This retrospective cohort study </w:t>
      </w:r>
      <w:r w:rsidR="00D652CE">
        <w:t>us</w:t>
      </w:r>
      <w:r w:rsidR="00CB7F8B">
        <w:t>ed</w:t>
      </w:r>
      <w:r w:rsidR="00D652CE">
        <w:t xml:space="preserve"> clinical data </w:t>
      </w:r>
      <w:r w:rsidR="00CB7F8B">
        <w:t xml:space="preserve">on births </w:t>
      </w:r>
      <w:r w:rsidR="003C078D">
        <w:t>(</w:t>
      </w:r>
      <w:r w:rsidR="003C078D" w:rsidRPr="00887E1E">
        <w:t>23</w:t>
      </w:r>
      <w:r w:rsidR="003C078D" w:rsidRPr="00887E1E">
        <w:rPr>
          <w:vertAlign w:val="superscript"/>
        </w:rPr>
        <w:t>+0</w:t>
      </w:r>
      <w:r w:rsidR="003C078D" w:rsidRPr="00887E1E">
        <w:t>-42</w:t>
      </w:r>
      <w:r w:rsidR="003C078D" w:rsidRPr="00887E1E">
        <w:rPr>
          <w:vertAlign w:val="superscript"/>
        </w:rPr>
        <w:t>+6</w:t>
      </w:r>
      <w:r w:rsidR="003C078D" w:rsidRPr="00887E1E">
        <w:t xml:space="preserve"> weeks’ gestation</w:t>
      </w:r>
      <w:r w:rsidR="003C078D">
        <w:t>)</w:t>
      </w:r>
      <w:r w:rsidR="003C078D" w:rsidRPr="00887E1E">
        <w:t xml:space="preserve"> </w:t>
      </w:r>
      <w:r w:rsidR="00647EA6">
        <w:t xml:space="preserve">delivered </w:t>
      </w:r>
      <w:r w:rsidR="003C078D" w:rsidRPr="00887E1E">
        <w:t>between January 1, 2017 and June 30, 201</w:t>
      </w:r>
      <w:r w:rsidR="003C078D">
        <w:t>9</w:t>
      </w:r>
      <w:r w:rsidR="00D652CE">
        <w:t xml:space="preserve"> </w:t>
      </w:r>
      <w:r w:rsidR="003C078D">
        <w:t xml:space="preserve">at </w:t>
      </w:r>
      <w:r w:rsidR="00A671B7">
        <w:t>17</w:t>
      </w:r>
      <w:r w:rsidR="00A671B7" w:rsidRPr="00E010B7">
        <w:t xml:space="preserve"> </w:t>
      </w:r>
      <w:r w:rsidR="00A35BF9" w:rsidRPr="00E010B7">
        <w:t>hospitals</w:t>
      </w:r>
      <w:r w:rsidR="003C078D">
        <w:t xml:space="preserve"> </w:t>
      </w:r>
      <w:r w:rsidR="00CB7F8B">
        <w:t xml:space="preserve">participating in </w:t>
      </w:r>
      <w:r w:rsidR="00E15669">
        <w:t xml:space="preserve">the </w:t>
      </w:r>
      <w:r w:rsidR="00CB7F8B" w:rsidRPr="00E010B7">
        <w:t>Obstetrical Care Outcomes Assessment Program (OB COAP)</w:t>
      </w:r>
      <w:r w:rsidR="00CB7F8B">
        <w:t>, an ongoing perinatal quality improvement collaborative</w:t>
      </w:r>
      <w:r w:rsidR="00993C60">
        <w:t xml:space="preserve"> in the Northwest</w:t>
      </w:r>
      <w:r w:rsidR="00E15669">
        <w:t xml:space="preserve"> Region of the </w:t>
      </w:r>
      <w:r w:rsidR="00993C60">
        <w:t>United States</w:t>
      </w:r>
      <w:r w:rsidRPr="00E010B7">
        <w:t>.</w:t>
      </w:r>
      <w:r w:rsidR="00602B85">
        <w:t xml:space="preserve"> </w:t>
      </w:r>
      <w:r w:rsidR="003C078D">
        <w:t xml:space="preserve">OB COAP </w:t>
      </w:r>
      <w:r w:rsidRPr="00E010B7">
        <w:t>collects medical record</w:t>
      </w:r>
      <w:r w:rsidR="00647EA6">
        <w:t xml:space="preserve"> data for patients </w:t>
      </w:r>
      <w:r w:rsidR="00EE2BC3">
        <w:t>giving birth at</w:t>
      </w:r>
      <w:r w:rsidR="00E1006F">
        <w:t xml:space="preserve"> </w:t>
      </w:r>
      <w:r w:rsidRPr="00E010B7">
        <w:t>20 weeks’ gestation</w:t>
      </w:r>
      <w:r w:rsidR="00CB7F8B">
        <w:t xml:space="preserve"> or greater</w:t>
      </w:r>
      <w:r w:rsidR="00647EA6">
        <w:t>.</w:t>
      </w:r>
      <w:r w:rsidR="00E1006F">
        <w:t xml:space="preserve"> </w:t>
      </w:r>
      <w:r w:rsidR="00CB7F8B">
        <w:t>Participati</w:t>
      </w:r>
      <w:r w:rsidR="003C078D">
        <w:t>ng sites</w:t>
      </w:r>
      <w:r w:rsidR="00CB7F8B">
        <w:t xml:space="preserve"> </w:t>
      </w:r>
      <w:r w:rsidRPr="00E010B7">
        <w:t>in</w:t>
      </w:r>
      <w:r w:rsidR="00CB7F8B">
        <w:t>clude</w:t>
      </w:r>
      <w:r w:rsidRPr="00E010B7">
        <w:t xml:space="preserve"> </w:t>
      </w:r>
      <w:r w:rsidR="003C078D">
        <w:t xml:space="preserve">hospitals in </w:t>
      </w:r>
      <w:r w:rsidRPr="00E010B7">
        <w:t>urban, suburban, and rural settings</w:t>
      </w:r>
      <w:r w:rsidR="00CB7F8B">
        <w:t xml:space="preserve"> </w:t>
      </w:r>
      <w:r w:rsidR="003C078D">
        <w:t>with neonatal levels of care I-IV</w:t>
      </w:r>
      <w:r w:rsidR="00E1006F">
        <w:t xml:space="preserve">. </w:t>
      </w:r>
      <w:r w:rsidR="00736B7A">
        <w:t xml:space="preserve">The OB COAP dataset covers approximately a third of births in Washington </w:t>
      </w:r>
      <w:r w:rsidR="005B69D5">
        <w:t>S</w:t>
      </w:r>
      <w:r w:rsidR="00736B7A">
        <w:t xml:space="preserve">tate. </w:t>
      </w:r>
    </w:p>
    <w:p w14:paraId="4A65DA65" w14:textId="17FE487F" w:rsidR="006955DE" w:rsidRPr="00BE635A" w:rsidRDefault="006955DE" w:rsidP="00B159D4">
      <w:pPr>
        <w:pStyle w:val="NormalWeb"/>
        <w:spacing w:before="0" w:beforeAutospacing="0" w:after="0" w:afterAutospacing="0" w:line="480" w:lineRule="auto"/>
      </w:pPr>
      <w:r w:rsidRPr="00206857">
        <w:rPr>
          <w:u w:val="single"/>
        </w:rPr>
        <w:t>Study Population:</w:t>
      </w:r>
      <w:r>
        <w:t xml:space="preserve"> </w:t>
      </w:r>
      <w:r w:rsidR="00647EA6">
        <w:t xml:space="preserve">Eligibility was </w:t>
      </w:r>
      <w:r w:rsidR="003C078D">
        <w:t xml:space="preserve">restricted to </w:t>
      </w:r>
      <w:r w:rsidR="00D652CE" w:rsidRPr="00887E1E">
        <w:t>singleton</w:t>
      </w:r>
      <w:r w:rsidR="0058729F">
        <w:t>, livebirths</w:t>
      </w:r>
      <w:r w:rsidR="00EC497E">
        <w:t xml:space="preserve">. </w:t>
      </w:r>
      <w:r w:rsidR="00E80277" w:rsidRPr="00B159D4">
        <w:rPr>
          <w:rFonts w:ascii="Times" w:hAnsi="Times" w:cs="Times"/>
          <w:color w:val="000000" w:themeColor="text1"/>
        </w:rPr>
        <w:t>Analys</w:t>
      </w:r>
      <w:r w:rsidR="00E80277">
        <w:rPr>
          <w:rFonts w:ascii="Times" w:hAnsi="Times" w:cs="Times"/>
          <w:color w:val="000000" w:themeColor="text1"/>
        </w:rPr>
        <w:t>e</w:t>
      </w:r>
      <w:r w:rsidR="00E80277" w:rsidRPr="00B159D4">
        <w:rPr>
          <w:rFonts w:ascii="Times" w:hAnsi="Times" w:cs="Times"/>
          <w:color w:val="000000" w:themeColor="text1"/>
        </w:rPr>
        <w:t xml:space="preserve">s </w:t>
      </w:r>
      <w:r w:rsidR="00EE2BC3" w:rsidRPr="00B159D4">
        <w:rPr>
          <w:rFonts w:ascii="Times" w:hAnsi="Times" w:cs="Times"/>
          <w:color w:val="000000" w:themeColor="text1"/>
        </w:rPr>
        <w:t>of 3</w:t>
      </w:r>
      <w:r w:rsidR="00EE2BC3" w:rsidRPr="00B159D4">
        <w:rPr>
          <w:rFonts w:ascii="Times" w:hAnsi="Times" w:cs="Times"/>
          <w:color w:val="000000" w:themeColor="text1"/>
          <w:vertAlign w:val="superscript"/>
        </w:rPr>
        <w:t>rd</w:t>
      </w:r>
      <w:r w:rsidR="00EE2BC3" w:rsidRPr="00B159D4">
        <w:rPr>
          <w:rFonts w:ascii="Times" w:hAnsi="Times" w:cs="Times"/>
          <w:color w:val="000000" w:themeColor="text1"/>
        </w:rPr>
        <w:t>/4</w:t>
      </w:r>
      <w:r w:rsidR="00EE2BC3" w:rsidRPr="00B159D4">
        <w:rPr>
          <w:rFonts w:ascii="Times" w:hAnsi="Times" w:cs="Times"/>
          <w:color w:val="000000" w:themeColor="text1"/>
          <w:vertAlign w:val="superscript"/>
        </w:rPr>
        <w:t>th</w:t>
      </w:r>
      <w:r w:rsidR="00EE2BC3" w:rsidRPr="00B159D4">
        <w:rPr>
          <w:rFonts w:ascii="Times" w:hAnsi="Times" w:cs="Times"/>
          <w:color w:val="000000" w:themeColor="text1"/>
        </w:rPr>
        <w:t xml:space="preserve"> degree laceration</w:t>
      </w:r>
      <w:r w:rsidR="00185C6D" w:rsidRPr="00B159D4">
        <w:rPr>
          <w:rFonts w:ascii="Times" w:hAnsi="Times" w:cs="Times"/>
          <w:color w:val="000000" w:themeColor="text1"/>
        </w:rPr>
        <w:t xml:space="preserve"> and episiotomy</w:t>
      </w:r>
      <w:r w:rsidR="00EE2BC3" w:rsidRPr="00B159D4">
        <w:rPr>
          <w:rFonts w:ascii="Times" w:hAnsi="Times" w:cs="Times"/>
          <w:color w:val="000000" w:themeColor="text1"/>
        </w:rPr>
        <w:t xml:space="preserve"> </w:t>
      </w:r>
      <w:r w:rsidR="00E80277" w:rsidRPr="00B159D4">
        <w:rPr>
          <w:rFonts w:ascii="Times" w:hAnsi="Times" w:cs="Times"/>
          <w:color w:val="000000" w:themeColor="text1"/>
        </w:rPr>
        <w:t>w</w:t>
      </w:r>
      <w:r w:rsidR="00E80277">
        <w:rPr>
          <w:rFonts w:ascii="Times" w:hAnsi="Times" w:cs="Times"/>
          <w:color w:val="000000" w:themeColor="text1"/>
        </w:rPr>
        <w:t>ere</w:t>
      </w:r>
      <w:r w:rsidR="00E80277" w:rsidRPr="00B159D4">
        <w:rPr>
          <w:rFonts w:ascii="Times" w:hAnsi="Times" w:cs="Times"/>
          <w:color w:val="000000" w:themeColor="text1"/>
        </w:rPr>
        <w:t xml:space="preserve"> </w:t>
      </w:r>
      <w:r w:rsidR="00EE2BC3" w:rsidRPr="00B159D4">
        <w:rPr>
          <w:rFonts w:ascii="Times" w:hAnsi="Times" w:cs="Times"/>
          <w:color w:val="000000" w:themeColor="text1"/>
        </w:rPr>
        <w:t>restricted to vaginal deliveries at term</w:t>
      </w:r>
      <w:r w:rsidR="00185C6D" w:rsidRPr="00B159D4">
        <w:rPr>
          <w:rFonts w:ascii="Times" w:hAnsi="Times" w:cs="Times"/>
          <w:color w:val="000000" w:themeColor="text1"/>
        </w:rPr>
        <w:t xml:space="preserve"> (n = 3</w:t>
      </w:r>
      <w:r w:rsidR="00505D6E">
        <w:rPr>
          <w:rFonts w:ascii="Times" w:hAnsi="Times" w:cs="Times"/>
          <w:color w:val="000000" w:themeColor="text1"/>
        </w:rPr>
        <w:t>8,</w:t>
      </w:r>
      <w:r w:rsidR="00505D6E" w:rsidRPr="0077457C">
        <w:rPr>
          <w:rFonts w:ascii="Times" w:hAnsi="Times" w:cs="Times"/>
          <w:color w:val="000000" w:themeColor="text1"/>
        </w:rPr>
        <w:t>731</w:t>
      </w:r>
      <w:r w:rsidR="00185C6D" w:rsidRPr="00B159D4">
        <w:rPr>
          <w:rFonts w:ascii="Times" w:hAnsi="Times" w:cs="Times"/>
          <w:color w:val="000000" w:themeColor="text1"/>
        </w:rPr>
        <w:t>).</w:t>
      </w:r>
      <w:r w:rsidR="00EE2BC3" w:rsidRPr="00B159D4">
        <w:rPr>
          <w:rFonts w:ascii="Times" w:hAnsi="Times" w:cs="Times"/>
          <w:color w:val="000000" w:themeColor="text1"/>
        </w:rPr>
        <w:t xml:space="preserve"> </w:t>
      </w:r>
      <w:r w:rsidR="00E80277">
        <w:rPr>
          <w:rFonts w:ascii="Times" w:hAnsi="Times" w:cs="Times"/>
          <w:color w:val="000000" w:themeColor="text1"/>
        </w:rPr>
        <w:t>Analysis involving c</w:t>
      </w:r>
      <w:r w:rsidR="00EE2BC3" w:rsidRPr="00B159D4">
        <w:rPr>
          <w:rFonts w:ascii="Times" w:hAnsi="Times" w:cs="Times"/>
          <w:color w:val="000000" w:themeColor="text1"/>
        </w:rPr>
        <w:t>esarean delivery</w:t>
      </w:r>
      <w:r w:rsidR="00185C6D" w:rsidRPr="00B159D4">
        <w:rPr>
          <w:rFonts w:ascii="Times" w:hAnsi="Times" w:cs="Times"/>
          <w:color w:val="000000" w:themeColor="text1"/>
        </w:rPr>
        <w:t xml:space="preserve"> was restricted to</w:t>
      </w:r>
      <w:r w:rsidR="00EE2BC3" w:rsidRPr="00B159D4">
        <w:rPr>
          <w:rFonts w:ascii="Times" w:hAnsi="Times" w:cs="Times"/>
          <w:color w:val="000000" w:themeColor="text1"/>
        </w:rPr>
        <w:t xml:space="preserve"> nulliparous, singleton, term, vertex </w:t>
      </w:r>
      <w:r w:rsidR="00185C6D" w:rsidRPr="00B159D4">
        <w:rPr>
          <w:rFonts w:ascii="Times" w:hAnsi="Times" w:cs="Times"/>
          <w:color w:val="000000" w:themeColor="text1"/>
        </w:rPr>
        <w:t xml:space="preserve">(NTSV) </w:t>
      </w:r>
      <w:r w:rsidR="00EE2BC3" w:rsidRPr="00B159D4">
        <w:rPr>
          <w:rFonts w:ascii="Times" w:hAnsi="Times" w:cs="Times"/>
          <w:color w:val="000000" w:themeColor="text1"/>
        </w:rPr>
        <w:t>deliveries</w:t>
      </w:r>
      <w:r w:rsidR="00185C6D" w:rsidRPr="00B159D4">
        <w:rPr>
          <w:rFonts w:ascii="Times" w:hAnsi="Times" w:cs="Times"/>
          <w:color w:val="000000" w:themeColor="text1"/>
        </w:rPr>
        <w:t xml:space="preserve"> (</w:t>
      </w:r>
      <w:r w:rsidR="00185C6D" w:rsidRPr="00F434C7">
        <w:rPr>
          <w:rFonts w:ascii="Times" w:hAnsi="Times" w:cs="Times"/>
          <w:color w:val="000000" w:themeColor="text1"/>
        </w:rPr>
        <w:t>n = 20,</w:t>
      </w:r>
      <w:r w:rsidR="00505D6E" w:rsidRPr="00F434C7">
        <w:rPr>
          <w:rFonts w:ascii="Times" w:hAnsi="Times" w:cs="Times"/>
          <w:color w:val="000000" w:themeColor="text1"/>
        </w:rPr>
        <w:t>856</w:t>
      </w:r>
      <w:r w:rsidR="00185C6D" w:rsidRPr="00F434C7">
        <w:rPr>
          <w:rFonts w:ascii="Times" w:hAnsi="Times" w:cs="Times"/>
          <w:color w:val="000000" w:themeColor="text1"/>
        </w:rPr>
        <w:t>)</w:t>
      </w:r>
      <w:r w:rsidR="00EE2BC3" w:rsidRPr="00F434C7">
        <w:rPr>
          <w:rFonts w:ascii="Times" w:hAnsi="Times" w:cs="Times"/>
          <w:color w:val="000000" w:themeColor="text1"/>
        </w:rPr>
        <w:t>.</w:t>
      </w:r>
      <w:r w:rsidR="00EE2BC3" w:rsidRPr="00B159D4">
        <w:rPr>
          <w:rStyle w:val="CommentReference"/>
          <w:rFonts w:asciiTheme="minorHAnsi" w:eastAsiaTheme="minorHAnsi" w:hAnsiTheme="minorHAnsi" w:cstheme="minorBidi"/>
        </w:rPr>
        <w:t xml:space="preserve"> </w:t>
      </w:r>
      <w:r w:rsidR="00185C6D" w:rsidRPr="003673DF">
        <w:rPr>
          <w:rStyle w:val="CommentReference"/>
          <w:rFonts w:asciiTheme="minorHAnsi" w:eastAsiaTheme="minorHAnsi" w:hAnsiTheme="minorHAnsi" w:cstheme="minorBidi"/>
        </w:rPr>
        <w:t xml:space="preserve"> </w:t>
      </w:r>
      <w:r w:rsidR="00EE2BC3" w:rsidRPr="003673DF">
        <w:rPr>
          <w:rFonts w:ascii="Times" w:hAnsi="Times" w:cs="Times"/>
          <w:color w:val="000000" w:themeColor="text1"/>
        </w:rPr>
        <w:t>A</w:t>
      </w:r>
      <w:r w:rsidR="00E80277">
        <w:rPr>
          <w:rFonts w:ascii="Times" w:hAnsi="Times" w:cs="Times"/>
          <w:color w:val="000000" w:themeColor="text1"/>
        </w:rPr>
        <w:t>nalysis involving a</w:t>
      </w:r>
      <w:r w:rsidR="00EE2BC3" w:rsidRPr="003673DF">
        <w:rPr>
          <w:rFonts w:ascii="Times" w:hAnsi="Times" w:cs="Times"/>
          <w:color w:val="000000" w:themeColor="text1"/>
        </w:rPr>
        <w:t>ntenatal steroid</w:t>
      </w:r>
      <w:r w:rsidR="00EE2BC3" w:rsidRPr="00B159D4">
        <w:rPr>
          <w:rFonts w:ascii="Times" w:hAnsi="Times" w:cs="Times"/>
          <w:color w:val="000000" w:themeColor="text1"/>
        </w:rPr>
        <w:t xml:space="preserve"> use was restricted to preterm </w:t>
      </w:r>
      <w:r w:rsidR="00E05DF8">
        <w:rPr>
          <w:rFonts w:ascii="Times" w:hAnsi="Times" w:cs="Times"/>
          <w:color w:val="000000" w:themeColor="text1"/>
        </w:rPr>
        <w:t>(</w:t>
      </w:r>
      <w:r w:rsidR="00E05DF8" w:rsidRPr="00B159D4">
        <w:rPr>
          <w:rFonts w:ascii="Times" w:hAnsi="Times" w:cs="Times"/>
          <w:color w:val="000000" w:themeColor="text1"/>
        </w:rPr>
        <w:t>23</w:t>
      </w:r>
      <w:r w:rsidR="00E05DF8" w:rsidRPr="00B159D4">
        <w:rPr>
          <w:rFonts w:ascii="Times" w:hAnsi="Times" w:cs="Times"/>
          <w:color w:val="000000" w:themeColor="text1"/>
          <w:vertAlign w:val="superscript"/>
        </w:rPr>
        <w:t>+0</w:t>
      </w:r>
      <w:r w:rsidR="00E05DF8" w:rsidRPr="00B159D4">
        <w:rPr>
          <w:rFonts w:ascii="Times" w:hAnsi="Times" w:cs="Times"/>
          <w:color w:val="000000" w:themeColor="text1"/>
        </w:rPr>
        <w:t>-36</w:t>
      </w:r>
      <w:r w:rsidR="00E05DF8" w:rsidRPr="00B159D4">
        <w:rPr>
          <w:rFonts w:ascii="Times" w:hAnsi="Times" w:cs="Times"/>
          <w:color w:val="000000" w:themeColor="text1"/>
          <w:vertAlign w:val="superscript"/>
        </w:rPr>
        <w:t>+6</w:t>
      </w:r>
      <w:r w:rsidR="00E05DF8" w:rsidRPr="00B159D4">
        <w:rPr>
          <w:rFonts w:ascii="Times" w:hAnsi="Times" w:cs="Times"/>
          <w:color w:val="000000" w:themeColor="text1"/>
        </w:rPr>
        <w:t xml:space="preserve"> weeks’ gestation</w:t>
      </w:r>
      <w:r w:rsidR="00E05DF8">
        <w:rPr>
          <w:rFonts w:ascii="Times" w:hAnsi="Times" w:cs="Times"/>
          <w:color w:val="000000" w:themeColor="text1"/>
        </w:rPr>
        <w:t xml:space="preserve">) </w:t>
      </w:r>
      <w:r w:rsidR="00EE2BC3" w:rsidRPr="00F434C7">
        <w:rPr>
          <w:rFonts w:ascii="Times" w:hAnsi="Times" w:cs="Times"/>
          <w:color w:val="000000" w:themeColor="text1"/>
        </w:rPr>
        <w:t>birth</w:t>
      </w:r>
      <w:r w:rsidR="002667DF" w:rsidRPr="00F434C7">
        <w:rPr>
          <w:rFonts w:ascii="Times" w:hAnsi="Times" w:cs="Times"/>
          <w:color w:val="000000" w:themeColor="text1"/>
        </w:rPr>
        <w:t>s</w:t>
      </w:r>
      <w:r w:rsidR="00185C6D" w:rsidRPr="00F434C7">
        <w:rPr>
          <w:rFonts w:ascii="Times" w:hAnsi="Times" w:cs="Times"/>
          <w:color w:val="000000" w:themeColor="text1"/>
        </w:rPr>
        <w:t xml:space="preserve"> (n =</w:t>
      </w:r>
      <w:r w:rsidR="00F434C7" w:rsidRPr="00F434C7">
        <w:rPr>
          <w:rFonts w:ascii="Times" w:hAnsi="Times" w:cs="Times"/>
          <w:color w:val="000000" w:themeColor="text1"/>
        </w:rPr>
        <w:t xml:space="preserve"> 3,571</w:t>
      </w:r>
      <w:r w:rsidR="00185C6D" w:rsidRPr="00F434C7">
        <w:rPr>
          <w:rFonts w:ascii="Times" w:hAnsi="Times" w:cs="Times"/>
          <w:color w:val="000000" w:themeColor="text1"/>
        </w:rPr>
        <w:t>)</w:t>
      </w:r>
      <w:r w:rsidR="00EE2BC3" w:rsidRPr="00F434C7">
        <w:rPr>
          <w:rFonts w:ascii="Times" w:hAnsi="Times" w:cs="Times"/>
          <w:color w:val="000000" w:themeColor="text1"/>
        </w:rPr>
        <w:t>.</w:t>
      </w:r>
      <w:r w:rsidR="00185C6D" w:rsidRPr="00F434C7">
        <w:rPr>
          <w:rFonts w:ascii="Times" w:hAnsi="Times" w:cs="Times"/>
          <w:color w:val="000000" w:themeColor="text1"/>
        </w:rPr>
        <w:t xml:space="preserve"> Analysis </w:t>
      </w:r>
      <w:r w:rsidR="00E80277" w:rsidRPr="00F434C7">
        <w:rPr>
          <w:rFonts w:ascii="Times" w:hAnsi="Times" w:cs="Times"/>
          <w:color w:val="000000" w:themeColor="text1"/>
        </w:rPr>
        <w:t xml:space="preserve">involving </w:t>
      </w:r>
      <w:r w:rsidR="00185C6D" w:rsidRPr="00F434C7">
        <w:rPr>
          <w:rFonts w:ascii="Times" w:hAnsi="Times" w:cs="Times"/>
          <w:color w:val="000000" w:themeColor="text1"/>
        </w:rPr>
        <w:t>M</w:t>
      </w:r>
      <w:r w:rsidR="00E05DF8">
        <w:rPr>
          <w:rFonts w:ascii="Times" w:hAnsi="Times" w:cs="Times"/>
          <w:color w:val="000000" w:themeColor="text1"/>
        </w:rPr>
        <w:t>aternal-</w:t>
      </w:r>
      <w:r w:rsidR="00185C6D" w:rsidRPr="00F434C7">
        <w:rPr>
          <w:rFonts w:ascii="Times" w:hAnsi="Times" w:cs="Times"/>
          <w:color w:val="000000" w:themeColor="text1"/>
        </w:rPr>
        <w:t>F</w:t>
      </w:r>
      <w:r w:rsidR="00E05DF8">
        <w:rPr>
          <w:rFonts w:ascii="Times" w:hAnsi="Times" w:cs="Times"/>
          <w:color w:val="000000" w:themeColor="text1"/>
        </w:rPr>
        <w:t xml:space="preserve">etal </w:t>
      </w:r>
      <w:r w:rsidR="00185C6D" w:rsidRPr="00F434C7">
        <w:rPr>
          <w:rFonts w:ascii="Times" w:hAnsi="Times" w:cs="Times"/>
          <w:color w:val="000000" w:themeColor="text1"/>
        </w:rPr>
        <w:t>M</w:t>
      </w:r>
      <w:r w:rsidR="00E05DF8">
        <w:rPr>
          <w:rFonts w:ascii="Times" w:hAnsi="Times" w:cs="Times"/>
          <w:color w:val="000000" w:themeColor="text1"/>
        </w:rPr>
        <w:t>edicine (MFM)</w:t>
      </w:r>
      <w:r w:rsidR="00185C6D" w:rsidRPr="00F434C7">
        <w:rPr>
          <w:rFonts w:ascii="Times" w:hAnsi="Times" w:cs="Times"/>
          <w:color w:val="000000" w:themeColor="text1"/>
        </w:rPr>
        <w:t xml:space="preserve"> specialist care was </w:t>
      </w:r>
      <w:r w:rsidR="008D0F90" w:rsidRPr="00F434C7">
        <w:rPr>
          <w:rFonts w:ascii="Times" w:hAnsi="Times" w:cs="Times"/>
          <w:color w:val="000000" w:themeColor="text1"/>
        </w:rPr>
        <w:t>restricted</w:t>
      </w:r>
      <w:r w:rsidR="00185C6D" w:rsidRPr="00F434C7">
        <w:rPr>
          <w:rFonts w:ascii="Times" w:hAnsi="Times" w:cs="Times"/>
          <w:color w:val="000000" w:themeColor="text1"/>
        </w:rPr>
        <w:t xml:space="preserve"> to high-risk births</w:t>
      </w:r>
      <w:r w:rsidR="00E80277" w:rsidRPr="00F434C7">
        <w:rPr>
          <w:rFonts w:ascii="Times" w:hAnsi="Times" w:cs="Times"/>
          <w:color w:val="000000" w:themeColor="text1"/>
        </w:rPr>
        <w:t xml:space="preserve"> </w:t>
      </w:r>
      <w:r w:rsidR="00E80277" w:rsidRPr="00F434C7">
        <w:rPr>
          <w:color w:val="000000" w:themeColor="text1"/>
        </w:rPr>
        <w:t xml:space="preserve">(n = </w:t>
      </w:r>
      <w:r w:rsidR="0077457C" w:rsidRPr="00F434C7">
        <w:rPr>
          <w:rFonts w:ascii="Times" w:hAnsi="Times" w:cs="Times"/>
          <w:color w:val="000000" w:themeColor="text1"/>
        </w:rPr>
        <w:t>9,342</w:t>
      </w:r>
      <w:r w:rsidR="00E80277">
        <w:rPr>
          <w:color w:val="000000" w:themeColor="text1"/>
        </w:rPr>
        <w:t>)</w:t>
      </w:r>
      <w:r w:rsidR="00185C6D">
        <w:rPr>
          <w:rFonts w:ascii="Times" w:hAnsi="Times" w:cs="Times"/>
          <w:color w:val="000000" w:themeColor="text1"/>
        </w:rPr>
        <w:t xml:space="preserve">, defined as </w:t>
      </w:r>
      <w:r w:rsidR="00A94E24">
        <w:rPr>
          <w:rFonts w:ascii="Times" w:hAnsi="Times" w:cs="Times"/>
          <w:color w:val="000000" w:themeColor="text1"/>
        </w:rPr>
        <w:t xml:space="preserve">having at least one of the following characteristics: </w:t>
      </w:r>
      <w:r w:rsidR="00185C6D">
        <w:rPr>
          <w:color w:val="000000" w:themeColor="text1"/>
        </w:rPr>
        <w:t xml:space="preserve">maternal age of </w:t>
      </w:r>
      <w:r w:rsidR="00A94E24">
        <w:rPr>
          <w:color w:val="000000" w:themeColor="text1"/>
        </w:rPr>
        <w:t>40</w:t>
      </w:r>
      <w:r w:rsidR="00185C6D">
        <w:rPr>
          <w:color w:val="000000" w:themeColor="text1"/>
        </w:rPr>
        <w:t xml:space="preserve"> years or greater, BMI at admission for delivery &gt;=</w:t>
      </w:r>
      <w:r w:rsidR="002C5ABE">
        <w:rPr>
          <w:color w:val="000000" w:themeColor="text1"/>
        </w:rPr>
        <w:t xml:space="preserve"> </w:t>
      </w:r>
      <w:r w:rsidR="00A94E24">
        <w:rPr>
          <w:color w:val="000000" w:themeColor="text1"/>
        </w:rPr>
        <w:t xml:space="preserve">40 </w:t>
      </w:r>
      <w:r w:rsidR="00E80277" w:rsidRPr="00887E1E">
        <w:rPr>
          <w:color w:val="000000" w:themeColor="text1"/>
        </w:rPr>
        <w:t>kg/m</w:t>
      </w:r>
      <w:r w:rsidR="00E80277" w:rsidRPr="00887E1E">
        <w:rPr>
          <w:color w:val="000000" w:themeColor="text1"/>
          <w:vertAlign w:val="superscript"/>
        </w:rPr>
        <w:t>2</w:t>
      </w:r>
      <w:r w:rsidR="00185C6D">
        <w:rPr>
          <w:color w:val="000000" w:themeColor="text1"/>
        </w:rPr>
        <w:t xml:space="preserve">, illicit substance use </w:t>
      </w:r>
      <w:r w:rsidR="00E05DF8">
        <w:rPr>
          <w:color w:val="000000" w:themeColor="text1"/>
        </w:rPr>
        <w:t>during</w:t>
      </w:r>
      <w:r w:rsidR="00185C6D">
        <w:rPr>
          <w:color w:val="000000" w:themeColor="text1"/>
        </w:rPr>
        <w:t xml:space="preserve"> pregnancy, pre-pregnancy diabetes, pre-pregnancy hypertension</w:t>
      </w:r>
      <w:r w:rsidR="0077457C">
        <w:rPr>
          <w:color w:val="000000" w:themeColor="text1"/>
        </w:rPr>
        <w:t>, history of preterm birth, and/or placenta accrete or percreta indication for cesarean delivery</w:t>
      </w:r>
      <w:r w:rsidR="00185C6D">
        <w:rPr>
          <w:color w:val="000000" w:themeColor="text1"/>
        </w:rPr>
        <w:t>.</w:t>
      </w:r>
      <w:r w:rsidR="00E15669">
        <w:t xml:space="preserve"> OB COAP </w:t>
      </w:r>
      <w:r w:rsidR="002D4035">
        <w:t>research has been determined</w:t>
      </w:r>
      <w:r w:rsidR="00E15669">
        <w:t xml:space="preserve"> a</w:t>
      </w:r>
      <w:r w:rsidR="002D4035">
        <w:t>s</w:t>
      </w:r>
      <w:r w:rsidR="00E15669">
        <w:t xml:space="preserve"> exemp</w:t>
      </w:r>
      <w:r w:rsidR="002D4035">
        <w:t>t</w:t>
      </w:r>
      <w:r w:rsidR="00E15669">
        <w:t xml:space="preserve"> from Institutional Review Board review by the Western Institutional Review Board</w:t>
      </w:r>
      <w:r w:rsidR="0077457C">
        <w:fldChar w:fldCharType="begin" w:fldLock="1"/>
      </w:r>
      <w:r w:rsidR="00DE08B1">
        <w:instrText>ADDIN CSL_CITATION {"citationItems":[{"id":"ITEM-1","itemData":{"DOI":"10.1016/j.ajog.2017.04.029","ISSN":"10976868","PMID":"28455087","abstract":"Background In 2016, guidance statements were issued by the Society for Maternal-Fetal Medicine and the American Congress of Obstetricians and Gynecologists about extending antenatal steroid use to selected late preterm singleton pregnancies. Objective We sought to review antenatal steroid use prior to the 2016 guidance statements and assess the potential impact of these. Study Design This cohort study used chart-abstracted data from singleton deliveries from Jan. 1, 2012, through March 31, 2016, at 12 centers participating in the Obstetrics Clinical Outcomes Assessment Program, a quality initiative in Washington State. Pregnancies with missing gestation at delivery, fetal anomalies, or antepartum demise were excluded. Antenatal steroid use prior to the 2016 guidance was evaluated based on the percentage of early preterm deliveries (23+0-33+6 weeks) and the percentage of all pregnancies that received antenatal steroids. Newborn complication rates were calculated for late preterm deliveries (34+0+0-36+6 weeks), grouped by whether they would be potentially eligible or ineligible for antenatal steroids based on the 2016 guidance statements. Results The opportunity for antenatal steroids was missed in 21.8% (226/1034) of early preterm deliveries and of all those who received antenatal steroids, 32.2% (614/1908) delivered at term. Of preterm deliveries, 74% (n = 2942) were in the late preterm period. In all, 80% (n = 2363) of late preterm deliveries were potentially eligible for antenatal steroids and 60% of these (n = 1411) delivered at 36 weeks. The rate of respiratory complications in newborns delivering at 34 and 35 weeks was higher in the group potentially eligible for late preterm antenatal steroids compared to those in the ineligible group. Of those delivering at 36 weeks, no differences were detected in prevalence of respiratory complications by potential eligibility for antenatal steroids; however, compared with the ineligible group, those potentially eligible had a lower risk of neonatal intensive care unit admission (P &lt;.001). More than two thirds (69%; 171/248) of newborn respiratory complications among late preterm deliveries potentially eligible for antenatal steroids occurred in those delivering at 34-35 weeks. The highest rate of respiratory complications was in those ineligible for antenatal steroids due to prepregnancy diabetes or chorioamnionitis, regardless of gestational age at delivery. Conclusion Careful consideration of which pregnanci…","author":[{"dropping-particle":"","family":"Souter","given":"Vivienne","non-dropping-particle":"","parse-names":false,"suffix":""},{"dropping-particle":"","family":"Kauffman","given":"Ellen","non-dropping-particle":"","parse-names":false,"suffix":""},{"dropping-particle":"","family":"Marshall","given":"Alice J.","non-dropping-particle":"","parse-names":false,"suffix":""},{"dropping-particle":"","family":"Katon","given":"Jodie G.","non-dropping-particle":"","parse-names":false,"suffix":""}],"container-title":"American Journal of Obstetrics and Gynecology","id":"ITEM-1","issue":"4","issued":{"date-parts":[["2017","10","1"]]},"page":"461.e1-461.e7","publisher":"Mosby Inc.","title":"Assessing the potential impact of extending antenatal steroids to the late preterm period","type":"article-journal","volume":"217"},"uris":["http://www.mendeley.com/documents/?uuid=9f435fa5-c137-3190-b8f9-55ff9b0c419f"]}],"mendeley":{"formattedCitation":"&lt;sup&gt;11&lt;/sup&gt;","plainTextFormattedCitation":"11","previouslyFormattedCitation":"&lt;sup&gt;11&lt;/sup&gt;"},"properties":{"noteIndex":0},"schema":"https://github.com/citation-style-language/schema/raw/master/csl-citation.json"}</w:instrText>
      </w:r>
      <w:r w:rsidR="0077457C">
        <w:fldChar w:fldCharType="separate"/>
      </w:r>
      <w:r w:rsidR="00DE08B1" w:rsidRPr="00DE08B1">
        <w:rPr>
          <w:noProof/>
          <w:vertAlign w:val="superscript"/>
        </w:rPr>
        <w:t>11</w:t>
      </w:r>
      <w:r w:rsidR="0077457C">
        <w:fldChar w:fldCharType="end"/>
      </w:r>
      <w:r w:rsidR="00E15669">
        <w:t>.</w:t>
      </w:r>
    </w:p>
    <w:p w14:paraId="407840AA" w14:textId="56560225" w:rsidR="006955DE" w:rsidRDefault="006955DE" w:rsidP="00206857">
      <w:pPr>
        <w:spacing w:line="480" w:lineRule="auto"/>
        <w:contextualSpacing/>
        <w:jc w:val="both"/>
      </w:pPr>
      <w:r w:rsidRPr="000A6B72">
        <w:rPr>
          <w:u w:val="single"/>
        </w:rPr>
        <w:t>Data Collection</w:t>
      </w:r>
      <w:r w:rsidRPr="000A6B72">
        <w:t xml:space="preserve">: </w:t>
      </w:r>
      <w:r w:rsidR="00A35BF9" w:rsidRPr="000A6B72">
        <w:t xml:space="preserve">Data collection </w:t>
      </w:r>
      <w:r w:rsidR="00E41B34">
        <w:t>was</w:t>
      </w:r>
      <w:r w:rsidR="00E41B34" w:rsidRPr="000A6B72">
        <w:t xml:space="preserve"> </w:t>
      </w:r>
      <w:r w:rsidR="00A35BF9" w:rsidRPr="000A6B72">
        <w:t xml:space="preserve">initiated </w:t>
      </w:r>
      <w:r w:rsidR="00AC1DA5" w:rsidRPr="000A6B72">
        <w:t>at</w:t>
      </w:r>
      <w:r w:rsidR="00A35BF9" w:rsidRPr="000A6B72">
        <w:t xml:space="preserve"> admission for labor and concludes</w:t>
      </w:r>
      <w:r w:rsidR="00A35BF9" w:rsidRPr="00E010B7">
        <w:t xml:space="preserve"> with </w:t>
      </w:r>
      <w:r w:rsidR="00D652CE">
        <w:t xml:space="preserve">possible </w:t>
      </w:r>
      <w:r w:rsidR="00A35BF9" w:rsidRPr="00E010B7">
        <w:t xml:space="preserve">documentation of readmission within 30 days of discharge. </w:t>
      </w:r>
      <w:r w:rsidR="00887E1E">
        <w:t>Clinical p</w:t>
      </w:r>
      <w:r w:rsidR="00A758A1">
        <w:t xml:space="preserve">atient </w:t>
      </w:r>
      <w:r w:rsidR="00B77737">
        <w:t xml:space="preserve">data </w:t>
      </w:r>
      <w:r w:rsidR="00E41B34">
        <w:t xml:space="preserve">were </w:t>
      </w:r>
      <w:r w:rsidR="00B77737">
        <w:t xml:space="preserve">acquired through direct uploading from electronic health records where possible and </w:t>
      </w:r>
      <w:r w:rsidR="00BD00FF">
        <w:t xml:space="preserve">through hand abstraction by </w:t>
      </w:r>
      <w:r w:rsidR="00B77737">
        <w:t>t</w:t>
      </w:r>
      <w:r w:rsidR="00A35BF9" w:rsidRPr="00E010B7">
        <w:t xml:space="preserve">rained </w:t>
      </w:r>
      <w:r w:rsidR="00B77737">
        <w:t xml:space="preserve">data </w:t>
      </w:r>
      <w:r w:rsidR="00A35BF9" w:rsidRPr="00E010B7">
        <w:t xml:space="preserve">abstractors. Data </w:t>
      </w:r>
      <w:r w:rsidR="00E15669" w:rsidRPr="00E010B7">
        <w:t>under</w:t>
      </w:r>
      <w:r w:rsidR="00E15669">
        <w:t>went</w:t>
      </w:r>
      <w:r w:rsidR="00E15669" w:rsidRPr="00E010B7">
        <w:t xml:space="preserve"> </w:t>
      </w:r>
      <w:r w:rsidR="00A35BF9" w:rsidRPr="00E010B7">
        <w:t xml:space="preserve">real-time data quality and validation checks, both at </w:t>
      </w:r>
      <w:r w:rsidR="004B034A">
        <w:t>the</w:t>
      </w:r>
      <w:r w:rsidR="00A35BF9" w:rsidRPr="00E010B7">
        <w:t xml:space="preserve"> </w:t>
      </w:r>
      <w:r w:rsidR="00AC1DA5">
        <w:t>hospital</w:t>
      </w:r>
      <w:r w:rsidR="00A35BF9" w:rsidRPr="00E010B7">
        <w:t xml:space="preserve"> and aggregate level</w:t>
      </w:r>
      <w:r w:rsidR="000A6B72">
        <w:t>— minimizing the risk of misclassification due to data entry errors.</w:t>
      </w:r>
      <w:r w:rsidR="00BF278F">
        <w:t xml:space="preserve"> </w:t>
      </w:r>
    </w:p>
    <w:p w14:paraId="605589C8" w14:textId="1042DDDB" w:rsidR="00A35BF9" w:rsidRPr="00E010B7" w:rsidRDefault="006955DE" w:rsidP="00206857">
      <w:pPr>
        <w:spacing w:line="480" w:lineRule="auto"/>
        <w:contextualSpacing/>
        <w:jc w:val="both"/>
      </w:pPr>
      <w:r w:rsidRPr="00206857">
        <w:rPr>
          <w:u w:val="single"/>
        </w:rPr>
        <w:t>Exposure and Outcome</w:t>
      </w:r>
      <w:r>
        <w:t xml:space="preserve">: </w:t>
      </w:r>
      <w:r w:rsidR="00BD00FF">
        <w:t>The</w:t>
      </w:r>
      <w:r w:rsidR="00BD00FF" w:rsidRPr="00E010B7">
        <w:t xml:space="preserve"> </w:t>
      </w:r>
      <w:r w:rsidR="00A35BF9" w:rsidRPr="00E010B7">
        <w:t>exposure of interest was self-reported race</w:t>
      </w:r>
      <w:r w:rsidR="00CE2FAA">
        <w:t>/</w:t>
      </w:r>
      <w:r w:rsidR="00942A82">
        <w:t xml:space="preserve"> </w:t>
      </w:r>
      <w:r w:rsidR="00A35BF9" w:rsidRPr="00E010B7">
        <w:t>ethnicity</w:t>
      </w:r>
      <w:r w:rsidR="00AC1DA5">
        <w:t>.</w:t>
      </w:r>
      <w:r w:rsidR="004B034A">
        <w:t xml:space="preserve"> </w:t>
      </w:r>
      <w:r w:rsidR="00BD00FF">
        <w:t>S</w:t>
      </w:r>
      <w:r w:rsidR="00AC1DA5">
        <w:t>elf-</w:t>
      </w:r>
      <w:r w:rsidR="00BD00FF">
        <w:t>reported race</w:t>
      </w:r>
      <w:r w:rsidR="00CE2FAA">
        <w:t>/</w:t>
      </w:r>
      <w:r w:rsidR="00942A82">
        <w:t xml:space="preserve"> </w:t>
      </w:r>
      <w:r w:rsidR="00BD00FF">
        <w:t>ethnicity</w:t>
      </w:r>
      <w:r w:rsidR="00AC1DA5">
        <w:t xml:space="preserve"> </w:t>
      </w:r>
      <w:r w:rsidR="00BD00FF">
        <w:t xml:space="preserve">was classified </w:t>
      </w:r>
      <w:r w:rsidR="00AC1DA5">
        <w:t xml:space="preserve">into </w:t>
      </w:r>
      <w:r w:rsidR="00CE2FAA">
        <w:t>the following</w:t>
      </w:r>
      <w:r w:rsidR="00A35BF9" w:rsidRPr="00E010B7">
        <w:t xml:space="preserve">: </w:t>
      </w:r>
      <w:r w:rsidR="004B034A">
        <w:t>NH</w:t>
      </w:r>
      <w:r w:rsidR="00CB6B26">
        <w:t xml:space="preserve"> </w:t>
      </w:r>
      <w:r w:rsidR="00A35BF9" w:rsidRPr="00E010B7">
        <w:t xml:space="preserve">White/Caucasian, </w:t>
      </w:r>
      <w:r w:rsidR="004B034A">
        <w:t>NH</w:t>
      </w:r>
      <w:r w:rsidR="00CB6B26">
        <w:t xml:space="preserve"> </w:t>
      </w:r>
      <w:r w:rsidR="00A35BF9" w:rsidRPr="00E010B7">
        <w:t xml:space="preserve">Black/African American, </w:t>
      </w:r>
      <w:r w:rsidR="004B034A">
        <w:t xml:space="preserve">NH </w:t>
      </w:r>
      <w:r w:rsidR="00A35BF9" w:rsidRPr="00E010B7">
        <w:t xml:space="preserve">Asian, </w:t>
      </w:r>
      <w:r w:rsidR="004B034A">
        <w:t xml:space="preserve">NH </w:t>
      </w:r>
      <w:r w:rsidR="001E7E61">
        <w:t>Indigenous/First Persons</w:t>
      </w:r>
      <w:r w:rsidR="00A35BF9" w:rsidRPr="00E010B7">
        <w:t xml:space="preserve">, </w:t>
      </w:r>
      <w:r w:rsidR="004B034A">
        <w:t xml:space="preserve">NH </w:t>
      </w:r>
      <w:r w:rsidR="00A35BF9" w:rsidRPr="00E010B7">
        <w:t>Hawaiian</w:t>
      </w:r>
      <w:r w:rsidR="001E7E61">
        <w:t xml:space="preserve">/ </w:t>
      </w:r>
      <w:r w:rsidR="00A35BF9" w:rsidRPr="00E010B7">
        <w:t xml:space="preserve">Pacific Islander, </w:t>
      </w:r>
      <w:r w:rsidR="004B034A">
        <w:t xml:space="preserve">NH </w:t>
      </w:r>
      <w:r w:rsidR="00A35BF9" w:rsidRPr="00E010B7">
        <w:t xml:space="preserve">Multiple Race, </w:t>
      </w:r>
      <w:r w:rsidR="004B034A">
        <w:t xml:space="preserve">NH </w:t>
      </w:r>
      <w:r w:rsidR="00B63DDD" w:rsidRPr="00E010B7">
        <w:t xml:space="preserve">Other, and </w:t>
      </w:r>
      <w:r w:rsidR="00A35BF9" w:rsidRPr="00E010B7">
        <w:t xml:space="preserve">Hispanic/Latinx. Any patient </w:t>
      </w:r>
      <w:r w:rsidR="00E15669">
        <w:t>who</w:t>
      </w:r>
      <w:r w:rsidR="00E15669" w:rsidRPr="00E010B7">
        <w:t xml:space="preserve"> </w:t>
      </w:r>
      <w:r w:rsidR="00A35BF9" w:rsidRPr="00E010B7">
        <w:t>identified as Hispanic</w:t>
      </w:r>
      <w:r w:rsidR="00CE2FAA">
        <w:t>/</w:t>
      </w:r>
      <w:r w:rsidR="00A35BF9" w:rsidRPr="00E010B7">
        <w:t xml:space="preserve">Latinx ethnicity, regardless of their racial identification, were only included in the Hispanic/Latinx category. </w:t>
      </w:r>
    </w:p>
    <w:p w14:paraId="551C3553" w14:textId="2CFA1B86" w:rsidR="00CE59F5" w:rsidRPr="00CA35CF" w:rsidRDefault="003625F7" w:rsidP="00CA35CF">
      <w:pPr>
        <w:pStyle w:val="NormalWeb"/>
        <w:spacing w:before="0" w:beforeAutospacing="0" w:after="0" w:afterAutospacing="0" w:line="480" w:lineRule="auto"/>
        <w:ind w:firstLine="720"/>
      </w:pPr>
      <w:r w:rsidRPr="007B58A2">
        <w:t>Ou</w:t>
      </w:r>
      <w:r w:rsidR="003D7E9F" w:rsidRPr="007B58A2">
        <w:t>tcome</w:t>
      </w:r>
      <w:r w:rsidR="00666DE4" w:rsidRPr="007B58A2">
        <w:t xml:space="preserve"> </w:t>
      </w:r>
      <w:r w:rsidR="007B58A2">
        <w:t>measures</w:t>
      </w:r>
      <w:r w:rsidR="00666DE4" w:rsidRPr="00E010B7">
        <w:t xml:space="preserve"> </w:t>
      </w:r>
      <w:r w:rsidR="003D7E9F" w:rsidRPr="00E010B7">
        <w:t>include</w:t>
      </w:r>
      <w:r w:rsidR="00036935" w:rsidRPr="00E010B7">
        <w:t>d</w:t>
      </w:r>
      <w:r w:rsidR="003D7E9F" w:rsidRPr="00E010B7">
        <w:t xml:space="preserve"> </w:t>
      </w:r>
      <w:r w:rsidR="00B63DDD">
        <w:t>c</w:t>
      </w:r>
      <w:r w:rsidR="003D7E9F" w:rsidRPr="00E010B7">
        <w:t xml:space="preserve">esarean </w:t>
      </w:r>
      <w:r w:rsidR="007B58A2">
        <w:t>delivery</w:t>
      </w:r>
      <w:r w:rsidR="00C47FB3">
        <w:t xml:space="preserve"> </w:t>
      </w:r>
      <w:r w:rsidR="00E41B34">
        <w:t xml:space="preserve">following </w:t>
      </w:r>
      <w:r w:rsidR="00C47FB3">
        <w:t xml:space="preserve">nulliparous term singleton vertex (NTSV) </w:t>
      </w:r>
      <w:r w:rsidR="00E41B34">
        <w:t>pregnancy</w:t>
      </w:r>
      <w:r w:rsidR="003D7E9F" w:rsidRPr="00E010B7">
        <w:rPr>
          <w:color w:val="000000" w:themeColor="text1"/>
        </w:rPr>
        <w:t>, 3</w:t>
      </w:r>
      <w:r w:rsidR="003D7E9F" w:rsidRPr="00E010B7">
        <w:rPr>
          <w:color w:val="000000" w:themeColor="text1"/>
          <w:vertAlign w:val="superscript"/>
        </w:rPr>
        <w:t>rd</w:t>
      </w:r>
      <w:r w:rsidR="001014F6">
        <w:rPr>
          <w:color w:val="000000" w:themeColor="text1"/>
        </w:rPr>
        <w:t>/</w:t>
      </w:r>
      <w:r w:rsidR="003D7E9F" w:rsidRPr="00E010B7">
        <w:rPr>
          <w:color w:val="000000" w:themeColor="text1"/>
        </w:rPr>
        <w:t>4</w:t>
      </w:r>
      <w:r w:rsidR="003D7E9F" w:rsidRPr="00E010B7">
        <w:rPr>
          <w:color w:val="000000" w:themeColor="text1"/>
          <w:vertAlign w:val="superscript"/>
        </w:rPr>
        <w:t>th</w:t>
      </w:r>
      <w:r w:rsidR="003D7E9F" w:rsidRPr="00E010B7">
        <w:rPr>
          <w:color w:val="000000" w:themeColor="text1"/>
        </w:rPr>
        <w:t xml:space="preserve"> degree laceration, </w:t>
      </w:r>
      <w:r w:rsidR="00B63DDD" w:rsidRPr="002A6F10">
        <w:rPr>
          <w:color w:val="000000" w:themeColor="text1"/>
        </w:rPr>
        <w:t>composite severe maternal morbidity (SMM)</w:t>
      </w:r>
      <w:r w:rsidR="00B63DDD">
        <w:rPr>
          <w:color w:val="000000" w:themeColor="text1"/>
        </w:rPr>
        <w:t xml:space="preserve">, and </w:t>
      </w:r>
      <w:r w:rsidR="003D7E9F" w:rsidRPr="00E010B7">
        <w:rPr>
          <w:color w:val="000000" w:themeColor="text1"/>
        </w:rPr>
        <w:t>maternal readmission</w:t>
      </w:r>
      <w:r w:rsidR="00B63DDD">
        <w:rPr>
          <w:color w:val="000000" w:themeColor="text1"/>
        </w:rPr>
        <w:t xml:space="preserve"> to the same hospital</w:t>
      </w:r>
      <w:r w:rsidR="003D7E9F" w:rsidRPr="00E010B7">
        <w:rPr>
          <w:color w:val="000000" w:themeColor="text1"/>
        </w:rPr>
        <w:t xml:space="preserve"> within 30 days of </w:t>
      </w:r>
      <w:r w:rsidR="00BD4925" w:rsidRPr="00E010B7">
        <w:rPr>
          <w:color w:val="000000" w:themeColor="text1"/>
        </w:rPr>
        <w:t>delivery</w:t>
      </w:r>
      <w:r w:rsidR="003D7E9F" w:rsidRPr="00E010B7">
        <w:rPr>
          <w:color w:val="000000" w:themeColor="text1"/>
        </w:rPr>
        <w:t xml:space="preserve"> (all-cause</w:t>
      </w:r>
      <w:r w:rsidR="00B63DDD">
        <w:rPr>
          <w:color w:val="000000" w:themeColor="text1"/>
        </w:rPr>
        <w:t>).</w:t>
      </w:r>
      <w:r w:rsidR="008A4299" w:rsidRPr="00E010B7">
        <w:rPr>
          <w:color w:val="000000" w:themeColor="text1"/>
        </w:rPr>
        <w:t xml:space="preserve"> </w:t>
      </w:r>
      <w:r w:rsidR="00B63DDD">
        <w:rPr>
          <w:color w:val="000000" w:themeColor="text1"/>
        </w:rPr>
        <w:t xml:space="preserve">The </w:t>
      </w:r>
      <w:r w:rsidR="008A4299" w:rsidRPr="00E010B7">
        <w:rPr>
          <w:color w:val="000000" w:themeColor="text1"/>
        </w:rPr>
        <w:t xml:space="preserve">SMM </w:t>
      </w:r>
      <w:r w:rsidR="00B63DDD">
        <w:rPr>
          <w:color w:val="000000" w:themeColor="text1"/>
        </w:rPr>
        <w:t xml:space="preserve">metric </w:t>
      </w:r>
      <w:r w:rsidR="00BD00FF">
        <w:rPr>
          <w:color w:val="000000" w:themeColor="text1"/>
        </w:rPr>
        <w:t xml:space="preserve">was defined as one or more of </w:t>
      </w:r>
      <w:r w:rsidR="00E41B34">
        <w:rPr>
          <w:color w:val="000000" w:themeColor="text1"/>
        </w:rPr>
        <w:t xml:space="preserve">the following during admission for labor and delivery: </w:t>
      </w:r>
      <w:r w:rsidR="008A4299" w:rsidRPr="00E010B7">
        <w:rPr>
          <w:color w:val="000000" w:themeColor="text1"/>
        </w:rPr>
        <w:t>blood transfusion, hysterectomy, disseminated intravascular coagulation, eclampsia, thromboembolism, or amniotic fluid embolism.</w:t>
      </w:r>
      <w:r>
        <w:rPr>
          <w:color w:val="000000" w:themeColor="text1"/>
        </w:rPr>
        <w:t xml:space="preserve"> </w:t>
      </w:r>
      <w:r w:rsidR="00666DE4" w:rsidRPr="007B58A2">
        <w:rPr>
          <w:color w:val="000000" w:themeColor="text1"/>
        </w:rPr>
        <w:t xml:space="preserve">Process </w:t>
      </w:r>
      <w:r w:rsidR="007B58A2">
        <w:rPr>
          <w:color w:val="000000" w:themeColor="text1"/>
        </w:rPr>
        <w:t>measures</w:t>
      </w:r>
      <w:r w:rsidR="00666DE4" w:rsidRPr="00E010B7">
        <w:rPr>
          <w:i/>
          <w:iCs/>
          <w:color w:val="000000" w:themeColor="text1"/>
        </w:rPr>
        <w:t xml:space="preserve"> </w:t>
      </w:r>
      <w:r w:rsidR="00666DE4" w:rsidRPr="00E010B7">
        <w:rPr>
          <w:color w:val="000000" w:themeColor="text1"/>
        </w:rPr>
        <w:t xml:space="preserve">included </w:t>
      </w:r>
      <w:r w:rsidR="003F653F" w:rsidRPr="00E010B7">
        <w:rPr>
          <w:color w:val="000000" w:themeColor="text1"/>
        </w:rPr>
        <w:t xml:space="preserve">absent or minimal prenatal care, </w:t>
      </w:r>
      <w:r w:rsidR="000529DC">
        <w:rPr>
          <w:color w:val="000000" w:themeColor="text1"/>
        </w:rPr>
        <w:t>maternal fetal medicine (MFM) specialist</w:t>
      </w:r>
      <w:r w:rsidR="00B63DDD" w:rsidRPr="0076060D">
        <w:rPr>
          <w:color w:val="000000" w:themeColor="text1"/>
        </w:rPr>
        <w:t xml:space="preserve"> </w:t>
      </w:r>
      <w:r w:rsidR="00BD00FF">
        <w:rPr>
          <w:color w:val="000000" w:themeColor="text1"/>
        </w:rPr>
        <w:t xml:space="preserve">care </w:t>
      </w:r>
      <w:r w:rsidR="00B63DDD" w:rsidRPr="0076060D">
        <w:rPr>
          <w:color w:val="000000" w:themeColor="text1"/>
        </w:rPr>
        <w:t>for high</w:t>
      </w:r>
      <w:r w:rsidR="002D4035">
        <w:rPr>
          <w:color w:val="000000" w:themeColor="text1"/>
        </w:rPr>
        <w:t>er</w:t>
      </w:r>
      <w:r w:rsidR="00B63DDD" w:rsidRPr="0076060D">
        <w:rPr>
          <w:color w:val="000000" w:themeColor="text1"/>
        </w:rPr>
        <w:t xml:space="preserve">-risk </w:t>
      </w:r>
      <w:r w:rsidR="00BD00FF">
        <w:rPr>
          <w:color w:val="000000" w:themeColor="text1"/>
        </w:rPr>
        <w:t>births</w:t>
      </w:r>
      <w:r w:rsidR="003673DF">
        <w:rPr>
          <w:color w:val="000000" w:themeColor="text1"/>
        </w:rPr>
        <w:t>,</w:t>
      </w:r>
      <w:r w:rsidR="00A2066A">
        <w:rPr>
          <w:color w:val="000000" w:themeColor="text1"/>
        </w:rPr>
        <w:t xml:space="preserve"> episiotomy,</w:t>
      </w:r>
      <w:r w:rsidR="00B231FD">
        <w:rPr>
          <w:color w:val="000000" w:themeColor="text1"/>
        </w:rPr>
        <w:t xml:space="preserve"> epidural</w:t>
      </w:r>
      <w:r w:rsidR="00A40CE4">
        <w:rPr>
          <w:color w:val="000000" w:themeColor="text1"/>
        </w:rPr>
        <w:t xml:space="preserve"> administration</w:t>
      </w:r>
      <w:r w:rsidR="00B231FD">
        <w:rPr>
          <w:color w:val="000000" w:themeColor="text1"/>
        </w:rPr>
        <w:t xml:space="preserve">, and </w:t>
      </w:r>
      <w:r w:rsidR="00B231FD" w:rsidRPr="00E010B7">
        <w:rPr>
          <w:color w:val="000000" w:themeColor="text1"/>
        </w:rPr>
        <w:t>antenatal steroids for preterm birth</w:t>
      </w:r>
      <w:r w:rsidR="00B231FD">
        <w:rPr>
          <w:color w:val="000000" w:themeColor="text1"/>
        </w:rPr>
        <w:t xml:space="preserve"> (23</w:t>
      </w:r>
      <w:r w:rsidR="00B231FD" w:rsidRPr="00A2066A">
        <w:rPr>
          <w:color w:val="000000" w:themeColor="text1"/>
          <w:vertAlign w:val="superscript"/>
        </w:rPr>
        <w:t>+0</w:t>
      </w:r>
      <w:r w:rsidR="00B231FD">
        <w:rPr>
          <w:color w:val="000000" w:themeColor="text1"/>
        </w:rPr>
        <w:t>-36</w:t>
      </w:r>
      <w:r w:rsidR="00B231FD" w:rsidRPr="00A2066A">
        <w:rPr>
          <w:color w:val="000000" w:themeColor="text1"/>
          <w:vertAlign w:val="superscript"/>
        </w:rPr>
        <w:t>+6</w:t>
      </w:r>
      <w:r w:rsidR="00B231FD">
        <w:rPr>
          <w:color w:val="000000" w:themeColor="text1"/>
        </w:rPr>
        <w:t xml:space="preserve"> weeks’ gestation)</w:t>
      </w:r>
      <w:r w:rsidR="003F653F" w:rsidRPr="00E010B7">
        <w:rPr>
          <w:color w:val="000000" w:themeColor="text1"/>
        </w:rPr>
        <w:t>.</w:t>
      </w:r>
    </w:p>
    <w:p w14:paraId="17857D53" w14:textId="797C8F49" w:rsidR="00EE2BC3" w:rsidRDefault="00EE2BC3" w:rsidP="00B159D4">
      <w:pPr>
        <w:pStyle w:val="NormalWeb"/>
        <w:spacing w:before="0" w:beforeAutospacing="0" w:after="0" w:afterAutospacing="0" w:line="480" w:lineRule="auto"/>
        <w:rPr>
          <w:color w:val="000000" w:themeColor="text1"/>
        </w:rPr>
      </w:pPr>
      <w:r w:rsidRPr="00B159D4">
        <w:rPr>
          <w:rFonts w:ascii="Times" w:hAnsi="Times" w:cs="Times"/>
          <w:color w:val="000000" w:themeColor="text1"/>
          <w:u w:val="single"/>
        </w:rPr>
        <w:t>Covariates</w:t>
      </w:r>
      <w:r>
        <w:rPr>
          <w:rFonts w:ascii="Times" w:hAnsi="Times" w:cs="Times"/>
          <w:color w:val="000000" w:themeColor="text1"/>
        </w:rPr>
        <w:t>:</w:t>
      </w:r>
      <w:r w:rsidR="00C67D31">
        <w:rPr>
          <w:rFonts w:ascii="Times" w:hAnsi="Times" w:cs="Times"/>
          <w:color w:val="000000" w:themeColor="text1"/>
        </w:rPr>
        <w:t xml:space="preserve"> </w:t>
      </w:r>
      <w:r>
        <w:rPr>
          <w:rFonts w:ascii="Times" w:hAnsi="Times" w:cs="Times"/>
        </w:rPr>
        <w:t>Covariates</w:t>
      </w:r>
      <w:r w:rsidR="003673DF">
        <w:rPr>
          <w:rFonts w:ascii="Times" w:hAnsi="Times" w:cs="Times"/>
        </w:rPr>
        <w:t xml:space="preserve"> of interest</w:t>
      </w:r>
      <w:r>
        <w:rPr>
          <w:rFonts w:ascii="Times" w:hAnsi="Times" w:cs="Times"/>
        </w:rPr>
        <w:t xml:space="preserve"> </w:t>
      </w:r>
      <w:r w:rsidR="0090475B">
        <w:rPr>
          <w:rFonts w:ascii="Times" w:hAnsi="Times" w:cs="Times"/>
        </w:rPr>
        <w:t xml:space="preserve">for adjustment in our models </w:t>
      </w:r>
      <w:r>
        <w:rPr>
          <w:rFonts w:ascii="Times" w:hAnsi="Times" w:cs="Times"/>
        </w:rPr>
        <w:t xml:space="preserve">included </w:t>
      </w:r>
      <w:r w:rsidRPr="00B6631B">
        <w:rPr>
          <w:color w:val="000000" w:themeColor="text1"/>
        </w:rPr>
        <w:t>age</w:t>
      </w:r>
      <w:r>
        <w:rPr>
          <w:color w:val="000000" w:themeColor="text1"/>
        </w:rPr>
        <w:t>,</w:t>
      </w:r>
      <w:r w:rsidRPr="00BD58BE" w:rsidDel="00BD58BE">
        <w:rPr>
          <w:color w:val="000000" w:themeColor="text1"/>
        </w:rPr>
        <w:t xml:space="preserve"> </w:t>
      </w:r>
      <w:r w:rsidRPr="002E6FBF">
        <w:rPr>
          <w:color w:val="000000" w:themeColor="text1"/>
        </w:rPr>
        <w:t>BMI</w:t>
      </w:r>
      <w:r>
        <w:rPr>
          <w:color w:val="000000" w:themeColor="text1"/>
        </w:rPr>
        <w:t xml:space="preserve"> at admission for delivery</w:t>
      </w:r>
      <w:r w:rsidRPr="002E6FBF">
        <w:rPr>
          <w:color w:val="000000" w:themeColor="text1"/>
        </w:rPr>
        <w:t>,</w:t>
      </w:r>
      <w:r>
        <w:rPr>
          <w:color w:val="000000" w:themeColor="text1"/>
        </w:rPr>
        <w:t xml:space="preserve"> parity (nulliparous or multiparous), neonatal level of care (I, II, or III-IV), prenatal illicit</w:t>
      </w:r>
      <w:r w:rsidRPr="00F92E56">
        <w:rPr>
          <w:color w:val="000000" w:themeColor="text1"/>
        </w:rPr>
        <w:t xml:space="preserve"> substance use</w:t>
      </w:r>
      <w:r w:rsidRPr="00E010B7">
        <w:rPr>
          <w:color w:val="000000" w:themeColor="text1"/>
        </w:rPr>
        <w:t>,</w:t>
      </w:r>
      <w:r>
        <w:rPr>
          <w:color w:val="000000" w:themeColor="text1"/>
        </w:rPr>
        <w:t xml:space="preserve"> prenatal smoking, </w:t>
      </w:r>
      <w:r w:rsidRPr="00E010B7">
        <w:rPr>
          <w:color w:val="000000" w:themeColor="text1"/>
        </w:rPr>
        <w:t xml:space="preserve">pre-pregnancy </w:t>
      </w:r>
      <w:r>
        <w:rPr>
          <w:color w:val="000000" w:themeColor="text1"/>
        </w:rPr>
        <w:t>diabetes,</w:t>
      </w:r>
      <w:r w:rsidRPr="00BD58BE">
        <w:rPr>
          <w:color w:val="000000" w:themeColor="text1"/>
        </w:rPr>
        <w:t xml:space="preserve"> </w:t>
      </w:r>
      <w:r w:rsidRPr="009F34EA">
        <w:rPr>
          <w:color w:val="000000" w:themeColor="text1"/>
        </w:rPr>
        <w:t xml:space="preserve">gestational </w:t>
      </w:r>
      <w:r w:rsidRPr="00B85DC7">
        <w:rPr>
          <w:color w:val="000000" w:themeColor="text1"/>
        </w:rPr>
        <w:t>diabetes, history of cesarean birth, and</w:t>
      </w:r>
      <w:r w:rsidRPr="00E010B7">
        <w:rPr>
          <w:color w:val="000000" w:themeColor="text1"/>
        </w:rPr>
        <w:t xml:space="preserve"> </w:t>
      </w:r>
      <w:r w:rsidR="00623220">
        <w:rPr>
          <w:color w:val="000000" w:themeColor="text1"/>
        </w:rPr>
        <w:t>private</w:t>
      </w:r>
      <w:r w:rsidRPr="00E010B7">
        <w:rPr>
          <w:color w:val="000000" w:themeColor="text1"/>
        </w:rPr>
        <w:t xml:space="preserve"> </w:t>
      </w:r>
      <w:r w:rsidR="003673DF">
        <w:rPr>
          <w:color w:val="000000" w:themeColor="text1"/>
        </w:rPr>
        <w:t xml:space="preserve">health </w:t>
      </w:r>
      <w:r w:rsidRPr="00E010B7">
        <w:rPr>
          <w:color w:val="000000" w:themeColor="text1"/>
        </w:rPr>
        <w:t>insurance status</w:t>
      </w:r>
      <w:r>
        <w:rPr>
          <w:color w:val="000000" w:themeColor="text1"/>
        </w:rPr>
        <w:t xml:space="preserve">. </w:t>
      </w:r>
      <w:r w:rsidR="0090475B">
        <w:rPr>
          <w:color w:val="000000" w:themeColor="text1"/>
        </w:rPr>
        <w:t xml:space="preserve">Inclusion of these covariates in the models were needed to </w:t>
      </w:r>
      <w:r w:rsidR="002B51BF">
        <w:rPr>
          <w:color w:val="000000" w:themeColor="text1"/>
        </w:rPr>
        <w:t xml:space="preserve">clarify </w:t>
      </w:r>
      <w:r w:rsidR="0090475B">
        <w:rPr>
          <w:color w:val="000000" w:themeColor="text1"/>
        </w:rPr>
        <w:t xml:space="preserve">the relationships between race/ethnicity and the adverse obstetric outcomes and process measures </w:t>
      </w:r>
      <w:r w:rsidR="0099634C">
        <w:rPr>
          <w:color w:val="000000" w:themeColor="text1"/>
        </w:rPr>
        <w:t xml:space="preserve">that </w:t>
      </w:r>
      <w:r w:rsidR="00E05DF8">
        <w:rPr>
          <w:color w:val="000000" w:themeColor="text1"/>
        </w:rPr>
        <w:t>we</w:t>
      </w:r>
      <w:r w:rsidR="0099634C">
        <w:rPr>
          <w:color w:val="000000" w:themeColor="text1"/>
        </w:rPr>
        <w:t xml:space="preserve"> examined</w:t>
      </w:r>
      <w:r w:rsidR="0090475B">
        <w:rPr>
          <w:color w:val="000000" w:themeColor="text1"/>
        </w:rPr>
        <w:t xml:space="preserve">. </w:t>
      </w:r>
      <w:r w:rsidR="002B51BF">
        <w:rPr>
          <w:color w:val="000000" w:themeColor="text1"/>
        </w:rPr>
        <w:t>More specifically, we wanted to e</w:t>
      </w:r>
      <w:r w:rsidR="0099634C">
        <w:rPr>
          <w:color w:val="000000" w:themeColor="text1"/>
        </w:rPr>
        <w:t>xamine</w:t>
      </w:r>
      <w:r w:rsidR="002B51BF">
        <w:rPr>
          <w:color w:val="000000" w:themeColor="text1"/>
        </w:rPr>
        <w:t xml:space="preserve"> the role of race/ethnicity on the outcomes, </w:t>
      </w:r>
      <w:r w:rsidR="0099634C">
        <w:rPr>
          <w:color w:val="000000" w:themeColor="text1"/>
        </w:rPr>
        <w:t>beyond the effect mediated by the other well described risk factors (e.g. BMI) that have been related to race/ethnicity.</w:t>
      </w:r>
      <w:r w:rsidR="002B51BF">
        <w:rPr>
          <w:color w:val="000000" w:themeColor="text1"/>
        </w:rPr>
        <w:t xml:space="preserve"> </w:t>
      </w:r>
      <w:r>
        <w:rPr>
          <w:color w:val="000000" w:themeColor="text1"/>
        </w:rPr>
        <w:t xml:space="preserve">Age </w:t>
      </w:r>
      <w:r w:rsidR="002B51BF">
        <w:rPr>
          <w:color w:val="000000" w:themeColor="text1"/>
        </w:rPr>
        <w:t xml:space="preserve">was included as </w:t>
      </w:r>
      <w:r w:rsidR="003673DF">
        <w:rPr>
          <w:color w:val="000000" w:themeColor="text1"/>
        </w:rPr>
        <w:t>a</w:t>
      </w:r>
      <w:r w:rsidRPr="00B85DC7">
        <w:rPr>
          <w:color w:val="000000" w:themeColor="text1"/>
        </w:rPr>
        <w:t xml:space="preserve"> continuous variable.</w:t>
      </w:r>
      <w:r>
        <w:rPr>
          <w:color w:val="000000" w:themeColor="text1"/>
        </w:rPr>
        <w:t xml:space="preserve"> S</w:t>
      </w:r>
      <w:r w:rsidRPr="00B85DC7">
        <w:rPr>
          <w:color w:val="000000" w:themeColor="text1"/>
        </w:rPr>
        <w:t xml:space="preserve">ubstance abuse </w:t>
      </w:r>
      <w:r>
        <w:rPr>
          <w:color w:val="000000" w:themeColor="text1"/>
        </w:rPr>
        <w:t xml:space="preserve">and prenatal smoking </w:t>
      </w:r>
      <w:r w:rsidR="002B51BF">
        <w:rPr>
          <w:color w:val="000000" w:themeColor="text1"/>
        </w:rPr>
        <w:t xml:space="preserve">were included as </w:t>
      </w:r>
      <w:r w:rsidRPr="00B85DC7">
        <w:rPr>
          <w:color w:val="000000" w:themeColor="text1"/>
        </w:rPr>
        <w:t>binary variable</w:t>
      </w:r>
      <w:r>
        <w:rPr>
          <w:color w:val="000000" w:themeColor="text1"/>
        </w:rPr>
        <w:t>s</w:t>
      </w:r>
      <w:r w:rsidRPr="00B85DC7">
        <w:rPr>
          <w:color w:val="000000" w:themeColor="text1"/>
        </w:rPr>
        <w:t xml:space="preserve"> indicating if the patient  self-reported substance</w:t>
      </w:r>
      <w:r>
        <w:rPr>
          <w:color w:val="000000" w:themeColor="text1"/>
        </w:rPr>
        <w:t xml:space="preserve"> use </w:t>
      </w:r>
      <w:r w:rsidRPr="00B85DC7">
        <w:rPr>
          <w:color w:val="000000" w:themeColor="text1"/>
        </w:rPr>
        <w:t xml:space="preserve">(illegal drugs or misuse of prescribed medications) </w:t>
      </w:r>
      <w:r>
        <w:rPr>
          <w:color w:val="000000" w:themeColor="text1"/>
        </w:rPr>
        <w:t xml:space="preserve">or smoked a product with nicotine </w:t>
      </w:r>
      <w:r w:rsidRPr="00B85DC7">
        <w:rPr>
          <w:color w:val="000000" w:themeColor="text1"/>
        </w:rPr>
        <w:t xml:space="preserve">during pregnancy. </w:t>
      </w:r>
      <w:r w:rsidR="00C85386">
        <w:rPr>
          <w:color w:val="000000" w:themeColor="text1"/>
        </w:rPr>
        <w:t>Private</w:t>
      </w:r>
      <w:r w:rsidRPr="00B85DC7">
        <w:rPr>
          <w:color w:val="000000" w:themeColor="text1"/>
        </w:rPr>
        <w:t xml:space="preserve"> </w:t>
      </w:r>
      <w:r>
        <w:rPr>
          <w:color w:val="000000" w:themeColor="text1"/>
        </w:rPr>
        <w:t xml:space="preserve">health </w:t>
      </w:r>
      <w:r w:rsidRPr="00B85DC7">
        <w:rPr>
          <w:color w:val="000000" w:themeColor="text1"/>
        </w:rPr>
        <w:t xml:space="preserve">insurance status </w:t>
      </w:r>
      <w:r w:rsidR="002B51BF">
        <w:rPr>
          <w:color w:val="000000" w:themeColor="text1"/>
        </w:rPr>
        <w:t xml:space="preserve">was included as </w:t>
      </w:r>
      <w:r w:rsidRPr="00B85DC7">
        <w:rPr>
          <w:color w:val="000000" w:themeColor="text1"/>
        </w:rPr>
        <w:t xml:space="preserve">a binary variable indicating if </w:t>
      </w:r>
      <w:r w:rsidRPr="00E26CD2">
        <w:rPr>
          <w:color w:val="000000" w:themeColor="text1"/>
        </w:rPr>
        <w:t xml:space="preserve">the patient has commercial health insurance or not. </w:t>
      </w:r>
      <w:r w:rsidR="003673DF" w:rsidRPr="00E26CD2">
        <w:rPr>
          <w:color w:val="000000" w:themeColor="text1"/>
        </w:rPr>
        <w:t xml:space="preserve">BMI at delivery </w:t>
      </w:r>
      <w:r w:rsidR="002B51BF" w:rsidRPr="00E26CD2">
        <w:rPr>
          <w:color w:val="000000" w:themeColor="text1"/>
        </w:rPr>
        <w:t xml:space="preserve">was </w:t>
      </w:r>
      <w:r w:rsidR="003673DF" w:rsidRPr="00E26CD2">
        <w:rPr>
          <w:color w:val="000000" w:themeColor="text1"/>
        </w:rPr>
        <w:t>categorized into four groups</w:t>
      </w:r>
      <w:r w:rsidR="006A25B0" w:rsidRPr="00E26CD2">
        <w:rPr>
          <w:color w:val="000000" w:themeColor="text1"/>
        </w:rPr>
        <w:t xml:space="preserve"> </w:t>
      </w:r>
      <w:r w:rsidR="00E26CD2">
        <w:rPr>
          <w:color w:val="000000" w:themeColor="text1"/>
        </w:rPr>
        <w:t>(underweight, regular, overweight, obese)</w:t>
      </w:r>
      <w:r w:rsidR="003673DF" w:rsidRPr="00E26CD2">
        <w:rPr>
          <w:color w:val="000000" w:themeColor="text1"/>
        </w:rPr>
        <w:t xml:space="preserve"> and </w:t>
      </w:r>
      <w:r w:rsidR="002B51BF" w:rsidRPr="00E26CD2">
        <w:rPr>
          <w:color w:val="000000" w:themeColor="text1"/>
        </w:rPr>
        <w:t xml:space="preserve">was </w:t>
      </w:r>
      <w:r w:rsidR="003673DF" w:rsidRPr="00E26CD2">
        <w:rPr>
          <w:color w:val="000000" w:themeColor="text1"/>
        </w:rPr>
        <w:t>included in the models</w:t>
      </w:r>
      <w:r w:rsidR="003673DF">
        <w:rPr>
          <w:color w:val="000000" w:themeColor="text1"/>
        </w:rPr>
        <w:t xml:space="preserve"> using grouped linear adjustment. </w:t>
      </w:r>
    </w:p>
    <w:p w14:paraId="7A8CF41A" w14:textId="7045D380" w:rsidR="00CC61FB" w:rsidRDefault="00CE59F5" w:rsidP="00B159D4">
      <w:pPr>
        <w:pStyle w:val="NormalWeb"/>
        <w:spacing w:before="0" w:beforeAutospacing="0" w:after="0" w:afterAutospacing="0" w:line="480" w:lineRule="auto"/>
        <w:rPr>
          <w:rFonts w:ascii="Times" w:hAnsi="Times" w:cs="Times"/>
          <w:color w:val="000000" w:themeColor="text1"/>
        </w:rPr>
      </w:pPr>
      <w:r w:rsidRPr="00206857">
        <w:rPr>
          <w:color w:val="000000" w:themeColor="text1"/>
          <w:u w:val="single"/>
        </w:rPr>
        <w:t>Statistical Analysis</w:t>
      </w:r>
      <w:r>
        <w:rPr>
          <w:color w:val="000000" w:themeColor="text1"/>
        </w:rPr>
        <w:t>:</w:t>
      </w:r>
      <w:r w:rsidR="006765C7">
        <w:rPr>
          <w:color w:val="000000" w:themeColor="text1"/>
        </w:rPr>
        <w:t xml:space="preserve"> </w:t>
      </w:r>
      <w:r w:rsidR="00082711">
        <w:rPr>
          <w:color w:val="000000" w:themeColor="text1"/>
        </w:rPr>
        <w:t xml:space="preserve">Study population </w:t>
      </w:r>
      <w:r w:rsidR="00E05DF8">
        <w:rPr>
          <w:color w:val="000000" w:themeColor="text1"/>
        </w:rPr>
        <w:t>characteristics</w:t>
      </w:r>
      <w:r w:rsidR="00082711">
        <w:rPr>
          <w:color w:val="000000" w:themeColor="text1"/>
        </w:rPr>
        <w:t xml:space="preserve"> were described using mean (standard deviations) for continuous variables and number (percentage) for categorical variables. </w:t>
      </w:r>
      <w:r w:rsidR="00B158B5" w:rsidRPr="00E010B7">
        <w:rPr>
          <w:color w:val="000000" w:themeColor="text1"/>
        </w:rPr>
        <w:t xml:space="preserve">Poisson regression </w:t>
      </w:r>
      <w:r w:rsidR="00B458D2">
        <w:rPr>
          <w:color w:val="000000" w:themeColor="text1"/>
        </w:rPr>
        <w:t xml:space="preserve">models </w:t>
      </w:r>
      <w:r w:rsidR="00B158B5" w:rsidRPr="00E010B7">
        <w:rPr>
          <w:color w:val="000000" w:themeColor="text1"/>
        </w:rPr>
        <w:t>with robust standard errors</w:t>
      </w:r>
      <w:r w:rsidR="00CD138C">
        <w:rPr>
          <w:color w:val="000000" w:themeColor="text1"/>
        </w:rPr>
        <w:t xml:space="preserve"> and clustering by hospital</w:t>
      </w:r>
      <w:r w:rsidR="00B158B5" w:rsidRPr="00E010B7">
        <w:rPr>
          <w:color w:val="000000" w:themeColor="text1"/>
        </w:rPr>
        <w:t xml:space="preserve"> </w:t>
      </w:r>
      <w:r w:rsidR="002D4035">
        <w:rPr>
          <w:color w:val="000000" w:themeColor="text1"/>
        </w:rPr>
        <w:t>w</w:t>
      </w:r>
      <w:r w:rsidR="00B458D2">
        <w:rPr>
          <w:color w:val="000000" w:themeColor="text1"/>
        </w:rPr>
        <w:t>ere</w:t>
      </w:r>
      <w:r w:rsidR="002D4035" w:rsidRPr="00E010B7">
        <w:rPr>
          <w:color w:val="000000" w:themeColor="text1"/>
        </w:rPr>
        <w:t xml:space="preserve"> </w:t>
      </w:r>
      <w:r w:rsidR="00B158B5" w:rsidRPr="00E010B7">
        <w:rPr>
          <w:color w:val="000000" w:themeColor="text1"/>
        </w:rPr>
        <w:t xml:space="preserve">used to model the </w:t>
      </w:r>
      <w:r w:rsidR="00B158B5" w:rsidRPr="00942A82">
        <w:rPr>
          <w:color w:val="000000" w:themeColor="text1"/>
        </w:rPr>
        <w:t>relationship</w:t>
      </w:r>
      <w:r w:rsidR="00B458D2">
        <w:rPr>
          <w:color w:val="000000" w:themeColor="text1"/>
        </w:rPr>
        <w:t>s</w:t>
      </w:r>
      <w:r w:rsidR="00B158B5" w:rsidRPr="00942A82">
        <w:rPr>
          <w:rFonts w:ascii="Times" w:hAnsi="Times" w:cs="Times"/>
        </w:rPr>
        <w:t xml:space="preserve"> between rac</w:t>
      </w:r>
      <w:r w:rsidR="00DC5EF5" w:rsidRPr="00942A82">
        <w:rPr>
          <w:rFonts w:ascii="Times" w:hAnsi="Times" w:cs="Times"/>
        </w:rPr>
        <w:t>e</w:t>
      </w:r>
      <w:r w:rsidR="00B458D2">
        <w:rPr>
          <w:rFonts w:ascii="Times" w:hAnsi="Times" w:cs="Times"/>
        </w:rPr>
        <w:t>/</w:t>
      </w:r>
      <w:r w:rsidR="00DC5EF5" w:rsidRPr="00942A82">
        <w:rPr>
          <w:rFonts w:ascii="Times" w:hAnsi="Times" w:cs="Times"/>
        </w:rPr>
        <w:t xml:space="preserve">ethnicity </w:t>
      </w:r>
      <w:r w:rsidR="00B158B5" w:rsidRPr="00942A82">
        <w:rPr>
          <w:rFonts w:ascii="Times" w:hAnsi="Times" w:cs="Times"/>
        </w:rPr>
        <w:t xml:space="preserve">and each </w:t>
      </w:r>
      <w:r w:rsidR="00B458D2">
        <w:rPr>
          <w:rFonts w:ascii="Times" w:hAnsi="Times" w:cs="Times"/>
        </w:rPr>
        <w:t xml:space="preserve">obstetric </w:t>
      </w:r>
      <w:r w:rsidR="00B158B5" w:rsidRPr="00942A82">
        <w:rPr>
          <w:rFonts w:ascii="Times" w:hAnsi="Times" w:cs="Times"/>
        </w:rPr>
        <w:t xml:space="preserve">outcome </w:t>
      </w:r>
      <w:r w:rsidR="00F445F8" w:rsidRPr="00942A82">
        <w:rPr>
          <w:rFonts w:ascii="Times" w:hAnsi="Times" w:cs="Times"/>
        </w:rPr>
        <w:t xml:space="preserve">and process measure. </w:t>
      </w:r>
      <w:r w:rsidR="003625F7" w:rsidRPr="00942A82">
        <w:rPr>
          <w:rFonts w:ascii="Times" w:hAnsi="Times" w:cs="Times"/>
        </w:rPr>
        <w:t>Adjusted</w:t>
      </w:r>
      <w:r w:rsidR="00BD58BE" w:rsidRPr="00942A82">
        <w:rPr>
          <w:rFonts w:ascii="Times" w:hAnsi="Times" w:cs="Times"/>
        </w:rPr>
        <w:t xml:space="preserve"> </w:t>
      </w:r>
      <w:r w:rsidR="00DC5EF5" w:rsidRPr="00942A82">
        <w:rPr>
          <w:rFonts w:ascii="Times" w:hAnsi="Times" w:cs="Times"/>
        </w:rPr>
        <w:t>risk ratios (</w:t>
      </w:r>
      <w:r w:rsidR="00E26CD2">
        <w:rPr>
          <w:rFonts w:ascii="Times" w:hAnsi="Times" w:cs="Times"/>
        </w:rPr>
        <w:t>a</w:t>
      </w:r>
      <w:r w:rsidR="00DC5EF5" w:rsidRPr="00942A82">
        <w:rPr>
          <w:rFonts w:ascii="Times" w:hAnsi="Times" w:cs="Times"/>
        </w:rPr>
        <w:t>RR) with corresponding 95% confidence intervals</w:t>
      </w:r>
      <w:r w:rsidR="003625F7" w:rsidRPr="00942A82">
        <w:rPr>
          <w:rFonts w:ascii="Times" w:hAnsi="Times" w:cs="Times"/>
        </w:rPr>
        <w:t xml:space="preserve"> were calculated</w:t>
      </w:r>
      <w:r w:rsidR="00BF1E8F" w:rsidRPr="00942A82">
        <w:rPr>
          <w:rFonts w:ascii="Times" w:hAnsi="Times" w:cs="Times"/>
        </w:rPr>
        <w:t xml:space="preserve"> for the </w:t>
      </w:r>
      <w:r w:rsidR="00B458D2">
        <w:rPr>
          <w:rFonts w:ascii="Times" w:hAnsi="Times" w:cs="Times"/>
        </w:rPr>
        <w:t xml:space="preserve">obstetric </w:t>
      </w:r>
      <w:r w:rsidR="00BF1E8F" w:rsidRPr="00942A82">
        <w:rPr>
          <w:rFonts w:ascii="Times" w:hAnsi="Times" w:cs="Times"/>
        </w:rPr>
        <w:t xml:space="preserve">outcome </w:t>
      </w:r>
      <w:r w:rsidR="00C67D31">
        <w:rPr>
          <w:rFonts w:ascii="Times" w:hAnsi="Times" w:cs="Times"/>
        </w:rPr>
        <w:t xml:space="preserve">and process </w:t>
      </w:r>
      <w:r w:rsidR="00BF1E8F" w:rsidRPr="00942A82">
        <w:rPr>
          <w:rFonts w:ascii="Times" w:hAnsi="Times" w:cs="Times"/>
        </w:rPr>
        <w:t>measures</w:t>
      </w:r>
      <w:r w:rsidR="00B158B5" w:rsidRPr="00942A82">
        <w:rPr>
          <w:rFonts w:ascii="Times" w:hAnsi="Times" w:cs="Times"/>
        </w:rPr>
        <w:t xml:space="preserve">. </w:t>
      </w:r>
      <w:r w:rsidR="00BF1E8F" w:rsidRPr="00942A82">
        <w:rPr>
          <w:rFonts w:ascii="Times" w:hAnsi="Times" w:cs="Times"/>
        </w:rPr>
        <w:t xml:space="preserve">No adjustments </w:t>
      </w:r>
      <w:r w:rsidR="003673DF" w:rsidRPr="00942A82">
        <w:rPr>
          <w:rFonts w:ascii="Times" w:hAnsi="Times" w:cs="Times"/>
        </w:rPr>
        <w:t xml:space="preserve">for </w:t>
      </w:r>
      <w:r w:rsidR="00B458D2">
        <w:rPr>
          <w:rFonts w:ascii="Times" w:hAnsi="Times" w:cs="Times"/>
        </w:rPr>
        <w:t>covariates</w:t>
      </w:r>
      <w:r w:rsidR="003673DF" w:rsidRPr="00942A82">
        <w:rPr>
          <w:rFonts w:ascii="Times" w:hAnsi="Times" w:cs="Times"/>
        </w:rPr>
        <w:t xml:space="preserve"> </w:t>
      </w:r>
      <w:r w:rsidR="00BF1E8F" w:rsidRPr="00942A82">
        <w:rPr>
          <w:rFonts w:ascii="Times" w:hAnsi="Times" w:cs="Times"/>
        </w:rPr>
        <w:t xml:space="preserve">were made </w:t>
      </w:r>
      <w:r w:rsidR="00B458D2">
        <w:rPr>
          <w:rFonts w:ascii="Times" w:hAnsi="Times" w:cs="Times"/>
        </w:rPr>
        <w:t xml:space="preserve">in </w:t>
      </w:r>
      <w:r w:rsidR="00C67D31">
        <w:rPr>
          <w:rFonts w:ascii="Times" w:hAnsi="Times" w:cs="Times"/>
        </w:rPr>
        <w:t xml:space="preserve">modeling the relationship between race/ethnicity and antenatal steroid administration </w:t>
      </w:r>
      <w:r w:rsidR="00D3546C" w:rsidRPr="00942A82">
        <w:rPr>
          <w:rFonts w:ascii="Times" w:hAnsi="Times" w:cs="Times"/>
        </w:rPr>
        <w:t xml:space="preserve">due to the </w:t>
      </w:r>
      <w:r w:rsidR="00993C06" w:rsidRPr="00942A82">
        <w:rPr>
          <w:rFonts w:ascii="Times" w:hAnsi="Times" w:cs="Times"/>
        </w:rPr>
        <w:t>additional exclusion criteria applied to the assessment of each process measure</w:t>
      </w:r>
      <w:r w:rsidR="00C67D31">
        <w:rPr>
          <w:rFonts w:ascii="Times" w:hAnsi="Times" w:cs="Times"/>
        </w:rPr>
        <w:t xml:space="preserve"> and small sample size</w:t>
      </w:r>
      <w:r w:rsidR="00993C06" w:rsidRPr="00942A82">
        <w:rPr>
          <w:rFonts w:ascii="Times" w:hAnsi="Times" w:cs="Times"/>
        </w:rPr>
        <w:t xml:space="preserve">. </w:t>
      </w:r>
    </w:p>
    <w:p w14:paraId="62B66657" w14:textId="41CFD780" w:rsidR="00EC79AD" w:rsidRPr="00B85DC7" w:rsidRDefault="00AB5E08" w:rsidP="00A40CE4">
      <w:pPr>
        <w:pStyle w:val="NormalWeb"/>
        <w:spacing w:before="0" w:beforeAutospacing="0" w:after="0" w:afterAutospacing="0" w:line="480" w:lineRule="auto"/>
        <w:ind w:firstLine="720"/>
        <w:rPr>
          <w:color w:val="000000" w:themeColor="text1"/>
        </w:rPr>
      </w:pPr>
      <w:r w:rsidRPr="00666DE4">
        <w:rPr>
          <w:rFonts w:ascii="Times" w:hAnsi="Times" w:cs="Times"/>
        </w:rPr>
        <w:t xml:space="preserve">A </w:t>
      </w:r>
      <w:r w:rsidR="005B69D5">
        <w:rPr>
          <w:rFonts w:ascii="Times" w:hAnsi="Times" w:cs="Times"/>
        </w:rPr>
        <w:t>p</w:t>
      </w:r>
      <w:r w:rsidRPr="00666DE4">
        <w:rPr>
          <w:rFonts w:ascii="Times" w:hAnsi="Times" w:cs="Times"/>
        </w:rPr>
        <w:t>-value of less than 0.05</w:t>
      </w:r>
      <w:r>
        <w:rPr>
          <w:rFonts w:ascii="Times" w:hAnsi="Times" w:cs="Times"/>
        </w:rPr>
        <w:t xml:space="preserve"> indicated a statistically significant association</w:t>
      </w:r>
      <w:r>
        <w:rPr>
          <w:color w:val="000000" w:themeColor="text1"/>
        </w:rPr>
        <w:t>.</w:t>
      </w:r>
      <w:r w:rsidR="001E7E61">
        <w:rPr>
          <w:color w:val="000000" w:themeColor="text1"/>
        </w:rPr>
        <w:t xml:space="preserve"> </w:t>
      </w:r>
      <w:r w:rsidR="00432D0C">
        <w:rPr>
          <w:rFonts w:ascii="Times" w:hAnsi="Times" w:cs="Times"/>
        </w:rPr>
        <w:t xml:space="preserve">All </w:t>
      </w:r>
      <w:r w:rsidR="002E749B">
        <w:rPr>
          <w:rFonts w:ascii="Times" w:hAnsi="Times" w:cs="Times"/>
        </w:rPr>
        <w:t xml:space="preserve">analyses were </w:t>
      </w:r>
      <w:r w:rsidR="00432D0C">
        <w:rPr>
          <w:rFonts w:ascii="Times" w:hAnsi="Times" w:cs="Times"/>
        </w:rPr>
        <w:t>completed in R</w:t>
      </w:r>
      <w:r w:rsidR="00E34D6A">
        <w:rPr>
          <w:rFonts w:ascii="Times" w:hAnsi="Times" w:cs="Times"/>
        </w:rPr>
        <w:t xml:space="preserve"> (Version 1.2.1335).</w:t>
      </w:r>
      <w:r w:rsidR="00FF7822">
        <w:rPr>
          <w:rFonts w:ascii="Times" w:hAnsi="Times" w:cs="Times"/>
        </w:rPr>
        <w:t xml:space="preserve"> </w:t>
      </w:r>
    </w:p>
    <w:p w14:paraId="03A3B8E9" w14:textId="77777777" w:rsidR="003E354D" w:rsidRPr="00D3546C" w:rsidRDefault="003E354D" w:rsidP="003E354D">
      <w:pPr>
        <w:pStyle w:val="NormalWeb"/>
        <w:spacing w:before="0" w:beforeAutospacing="0" w:after="0" w:afterAutospacing="0" w:line="480" w:lineRule="auto"/>
        <w:rPr>
          <w:rFonts w:ascii="Times" w:hAnsi="Times" w:cs="Times"/>
          <w:b/>
          <w:bCs/>
        </w:rPr>
      </w:pPr>
      <w:r w:rsidRPr="00D3546C">
        <w:rPr>
          <w:rFonts w:ascii="Times" w:hAnsi="Times" w:cs="Times"/>
          <w:b/>
          <w:bCs/>
        </w:rPr>
        <w:t>Results</w:t>
      </w:r>
    </w:p>
    <w:p w14:paraId="1ABD8378" w14:textId="3BC593CF" w:rsidR="00980FEA" w:rsidRDefault="00EC497E" w:rsidP="00371ECB">
      <w:pPr>
        <w:pStyle w:val="NormalWeb"/>
        <w:spacing w:before="0" w:beforeAutospacing="0" w:after="0" w:afterAutospacing="0" w:line="480" w:lineRule="auto"/>
        <w:ind w:firstLine="720"/>
        <w:rPr>
          <w:rFonts w:ascii="Times" w:hAnsi="Times" w:cs="Times"/>
        </w:rPr>
      </w:pPr>
      <w:r>
        <w:t>.</w:t>
      </w:r>
      <w:r w:rsidRPr="00887E1E">
        <w:t xml:space="preserve"> Intra-partum transfers from other hospitals</w:t>
      </w:r>
      <w:r>
        <w:t xml:space="preserve"> (4.7%)</w:t>
      </w:r>
      <w:r w:rsidRPr="00887E1E">
        <w:t>, planned community-based births</w:t>
      </w:r>
      <w:r>
        <w:t xml:space="preserve"> (6.2%)</w:t>
      </w:r>
      <w:r w:rsidRPr="00887E1E">
        <w:t>, patients with missing race</w:t>
      </w:r>
      <w:r>
        <w:t>/</w:t>
      </w:r>
      <w:r w:rsidRPr="00887E1E">
        <w:t>ethnicity</w:t>
      </w:r>
      <w:r>
        <w:t xml:space="preserve"> </w:t>
      </w:r>
      <w:r w:rsidRPr="00887E1E">
        <w:t>(</w:t>
      </w:r>
      <w:r>
        <w:t>2.7</w:t>
      </w:r>
      <w:r w:rsidRPr="00887E1E">
        <w:t xml:space="preserve">%), </w:t>
      </w:r>
      <w:r>
        <w:t xml:space="preserve">and </w:t>
      </w:r>
      <w:r w:rsidRPr="00887E1E">
        <w:t xml:space="preserve">patients with missing </w:t>
      </w:r>
      <w:r>
        <w:t xml:space="preserve">covariate information </w:t>
      </w:r>
      <w:r w:rsidRPr="00887E1E">
        <w:t>(</w:t>
      </w:r>
      <w:r>
        <w:t>4.5</w:t>
      </w:r>
      <w:r w:rsidRPr="00887E1E">
        <w:t>%)</w:t>
      </w:r>
      <w:r>
        <w:t xml:space="preserve"> </w:t>
      </w:r>
      <w:r w:rsidRPr="00887E1E">
        <w:t>were excluded from the study</w:t>
      </w:r>
      <w:r>
        <w:t xml:space="preserve"> sample</w:t>
      </w:r>
      <w:r w:rsidRPr="00887E1E">
        <w:t xml:space="preserve">. </w:t>
      </w:r>
      <w:r w:rsidRPr="00887E1E">
        <w:rPr>
          <w:color w:val="000000" w:themeColor="text1"/>
        </w:rPr>
        <w:t xml:space="preserve">Implausible values for age (&lt;12 years or &gt;55 years old)  and </w:t>
      </w:r>
      <w:r>
        <w:rPr>
          <w:color w:val="000000" w:themeColor="text1"/>
        </w:rPr>
        <w:t>body mass index (</w:t>
      </w:r>
      <w:r w:rsidRPr="00887E1E">
        <w:rPr>
          <w:color w:val="000000" w:themeColor="text1"/>
        </w:rPr>
        <w:t>BMI &lt;15kg/m</w:t>
      </w:r>
      <w:r w:rsidRPr="00887E1E">
        <w:rPr>
          <w:color w:val="000000" w:themeColor="text1"/>
          <w:vertAlign w:val="superscript"/>
        </w:rPr>
        <w:t>2</w:t>
      </w:r>
      <w:r w:rsidRPr="00887E1E">
        <w:rPr>
          <w:color w:val="000000" w:themeColor="text1"/>
        </w:rPr>
        <w:t xml:space="preserve"> or</w:t>
      </w:r>
      <w:r>
        <w:rPr>
          <w:color w:val="000000" w:themeColor="text1"/>
        </w:rPr>
        <w:t xml:space="preserve"> </w:t>
      </w:r>
      <w:r w:rsidRPr="00887E1E">
        <w:rPr>
          <w:color w:val="000000" w:themeColor="text1"/>
        </w:rPr>
        <w:t xml:space="preserve"> &gt; 70kg/m</w:t>
      </w:r>
      <w:r w:rsidRPr="00887E1E">
        <w:rPr>
          <w:color w:val="000000" w:themeColor="text1"/>
          <w:vertAlign w:val="superscript"/>
        </w:rPr>
        <w:t>2</w:t>
      </w:r>
      <w:r w:rsidRPr="00887E1E">
        <w:rPr>
          <w:color w:val="000000" w:themeColor="text1"/>
        </w:rPr>
        <w:t xml:space="preserve">) were </w:t>
      </w:r>
      <w:r>
        <w:rPr>
          <w:color w:val="000000" w:themeColor="text1"/>
        </w:rPr>
        <w:t>considered as</w:t>
      </w:r>
      <w:r w:rsidRPr="00887E1E">
        <w:rPr>
          <w:color w:val="000000" w:themeColor="text1"/>
        </w:rPr>
        <w:t xml:space="preserve"> missing data, and excluded. </w:t>
      </w:r>
      <w:r>
        <w:rPr>
          <w:color w:val="000000" w:themeColor="text1"/>
        </w:rPr>
        <w:t xml:space="preserve">The final study population included </w:t>
      </w:r>
      <w:r>
        <w:rPr>
          <w:rFonts w:ascii="Times" w:hAnsi="Times" w:cs="Times"/>
        </w:rPr>
        <w:t>58,439 births</w:t>
      </w:r>
      <w:r w:rsidRPr="003673DF">
        <w:rPr>
          <w:rFonts w:ascii="Times" w:hAnsi="Times" w:cs="Times"/>
        </w:rPr>
        <w:t>.</w:t>
      </w:r>
      <w:r w:rsidRPr="003673DF">
        <w:t xml:space="preserve"> </w:t>
      </w:r>
      <w:r w:rsidR="00474D3F">
        <w:rPr>
          <w:rFonts w:ascii="Times" w:hAnsi="Times" w:cs="Times"/>
        </w:rPr>
        <w:t>The m</w:t>
      </w:r>
      <w:r w:rsidR="005D413E">
        <w:rPr>
          <w:rFonts w:ascii="Times" w:hAnsi="Times" w:cs="Times"/>
        </w:rPr>
        <w:t xml:space="preserve">ajority of study participants were </w:t>
      </w:r>
      <w:r w:rsidR="00686CA0">
        <w:rPr>
          <w:rFonts w:ascii="Times" w:hAnsi="Times" w:cs="Times"/>
        </w:rPr>
        <w:t xml:space="preserve">NH </w:t>
      </w:r>
      <w:r w:rsidR="003E354D">
        <w:rPr>
          <w:rFonts w:ascii="Times" w:hAnsi="Times" w:cs="Times"/>
        </w:rPr>
        <w:t>White (</w:t>
      </w:r>
      <w:r w:rsidR="004526A5">
        <w:rPr>
          <w:rFonts w:ascii="Times" w:hAnsi="Times" w:cs="Times"/>
        </w:rPr>
        <w:t>52</w:t>
      </w:r>
      <w:r w:rsidR="0029342C">
        <w:rPr>
          <w:rFonts w:ascii="Times" w:hAnsi="Times" w:cs="Times"/>
        </w:rPr>
        <w:t>.</w:t>
      </w:r>
      <w:r w:rsidR="00505D6E">
        <w:rPr>
          <w:rFonts w:ascii="Times" w:hAnsi="Times" w:cs="Times"/>
        </w:rPr>
        <w:t>2</w:t>
      </w:r>
      <w:r w:rsidR="003E354D">
        <w:rPr>
          <w:rFonts w:ascii="Times" w:hAnsi="Times" w:cs="Times"/>
        </w:rPr>
        <w:t xml:space="preserve">%), followed by </w:t>
      </w:r>
      <w:r w:rsidR="00686CA0">
        <w:rPr>
          <w:rFonts w:ascii="Times" w:hAnsi="Times" w:cs="Times"/>
        </w:rPr>
        <w:t xml:space="preserve">NH </w:t>
      </w:r>
      <w:r w:rsidR="003E354D">
        <w:rPr>
          <w:rFonts w:ascii="Times" w:hAnsi="Times" w:cs="Times"/>
        </w:rPr>
        <w:t>Asian (</w:t>
      </w:r>
      <w:r w:rsidR="004526A5">
        <w:rPr>
          <w:rFonts w:ascii="Times" w:hAnsi="Times" w:cs="Times"/>
        </w:rPr>
        <w:t>18</w:t>
      </w:r>
      <w:r w:rsidR="0029342C">
        <w:rPr>
          <w:rFonts w:ascii="Times" w:hAnsi="Times" w:cs="Times"/>
        </w:rPr>
        <w:t>.</w:t>
      </w:r>
      <w:r w:rsidR="00505D6E">
        <w:rPr>
          <w:rFonts w:ascii="Times" w:hAnsi="Times" w:cs="Times"/>
        </w:rPr>
        <w:t>1</w:t>
      </w:r>
      <w:r w:rsidR="003E354D">
        <w:rPr>
          <w:rFonts w:ascii="Times" w:hAnsi="Times" w:cs="Times"/>
        </w:rPr>
        <w:t xml:space="preserve">%) and </w:t>
      </w:r>
      <w:r w:rsidR="004526A5">
        <w:rPr>
          <w:rFonts w:ascii="Times" w:hAnsi="Times" w:cs="Times"/>
        </w:rPr>
        <w:t>Hispanic/Latinx</w:t>
      </w:r>
      <w:r w:rsidR="003E354D">
        <w:rPr>
          <w:rFonts w:ascii="Times" w:hAnsi="Times" w:cs="Times"/>
        </w:rPr>
        <w:t xml:space="preserve"> (</w:t>
      </w:r>
      <w:r w:rsidR="004526A5">
        <w:rPr>
          <w:rFonts w:ascii="Times" w:hAnsi="Times" w:cs="Times"/>
        </w:rPr>
        <w:t>17.7</w:t>
      </w:r>
      <w:r w:rsidR="003E354D">
        <w:rPr>
          <w:rFonts w:ascii="Times" w:hAnsi="Times" w:cs="Times"/>
        </w:rPr>
        <w:t>%)</w:t>
      </w:r>
      <w:r w:rsidR="0003306A">
        <w:rPr>
          <w:rFonts w:ascii="Times" w:hAnsi="Times" w:cs="Times"/>
        </w:rPr>
        <w:t xml:space="preserve"> (Table 1)</w:t>
      </w:r>
      <w:r w:rsidR="003E354D">
        <w:rPr>
          <w:rFonts w:ascii="Times" w:hAnsi="Times" w:cs="Times"/>
        </w:rPr>
        <w:t xml:space="preserve">. The mean age </w:t>
      </w:r>
      <w:r w:rsidR="005F0A9D">
        <w:rPr>
          <w:rFonts w:ascii="Times" w:hAnsi="Times" w:cs="Times"/>
        </w:rPr>
        <w:t xml:space="preserve">of </w:t>
      </w:r>
      <w:r w:rsidR="008D0F90">
        <w:rPr>
          <w:rFonts w:ascii="Times" w:hAnsi="Times" w:cs="Times"/>
        </w:rPr>
        <w:t>participants</w:t>
      </w:r>
      <w:r w:rsidR="005F0A9D">
        <w:rPr>
          <w:rFonts w:ascii="Times" w:hAnsi="Times" w:cs="Times"/>
        </w:rPr>
        <w:t xml:space="preserve"> </w:t>
      </w:r>
      <w:r w:rsidR="003E354D">
        <w:rPr>
          <w:rFonts w:ascii="Times" w:hAnsi="Times" w:cs="Times"/>
        </w:rPr>
        <w:t>was 30.1 years</w:t>
      </w:r>
      <w:r w:rsidR="00A40CE4">
        <w:rPr>
          <w:rFonts w:ascii="Times" w:hAnsi="Times" w:cs="Times"/>
        </w:rPr>
        <w:t xml:space="preserve"> (standard deviation = </w:t>
      </w:r>
      <w:r w:rsidR="003E354D">
        <w:rPr>
          <w:rFonts w:ascii="Times" w:hAnsi="Times" w:cs="Times"/>
        </w:rPr>
        <w:t xml:space="preserve"> </w:t>
      </w:r>
      <w:r w:rsidR="003B6305">
        <w:rPr>
          <w:rFonts w:ascii="Times" w:hAnsi="Times" w:cs="Times"/>
        </w:rPr>
        <w:t>5.5</w:t>
      </w:r>
      <w:r w:rsidR="0029342C">
        <w:rPr>
          <w:rFonts w:ascii="Times" w:hAnsi="Times" w:cs="Times"/>
        </w:rPr>
        <w:t xml:space="preserve"> years</w:t>
      </w:r>
      <w:r w:rsidR="005F0A9D">
        <w:rPr>
          <w:rFonts w:ascii="Times" w:hAnsi="Times" w:cs="Times"/>
        </w:rPr>
        <w:t xml:space="preserve">) </w:t>
      </w:r>
      <w:r w:rsidR="003E354D">
        <w:rPr>
          <w:rFonts w:ascii="Times" w:hAnsi="Times" w:cs="Times"/>
        </w:rPr>
        <w:t xml:space="preserve">and the majority of patients had </w:t>
      </w:r>
      <w:r w:rsidR="008A26C8">
        <w:rPr>
          <w:rFonts w:ascii="Times" w:hAnsi="Times" w:cs="Times"/>
        </w:rPr>
        <w:t xml:space="preserve">private </w:t>
      </w:r>
      <w:r w:rsidR="003E354D" w:rsidRPr="00E26CD2">
        <w:rPr>
          <w:rFonts w:ascii="Times" w:hAnsi="Times" w:cs="Times"/>
        </w:rPr>
        <w:t>health insurance (</w:t>
      </w:r>
      <w:r w:rsidR="004526A5" w:rsidRPr="00E26CD2">
        <w:rPr>
          <w:rFonts w:ascii="Times" w:hAnsi="Times" w:cs="Times"/>
        </w:rPr>
        <w:t>60</w:t>
      </w:r>
      <w:r w:rsidR="003E354D" w:rsidRPr="00E26CD2">
        <w:rPr>
          <w:rFonts w:ascii="Times" w:hAnsi="Times" w:cs="Times"/>
        </w:rPr>
        <w:t>%).</w:t>
      </w:r>
      <w:r w:rsidR="00003FCE" w:rsidRPr="00E26CD2">
        <w:rPr>
          <w:rFonts w:ascii="Times" w:hAnsi="Times" w:cs="Times"/>
        </w:rPr>
        <w:t xml:space="preserve"> </w:t>
      </w:r>
      <w:r w:rsidR="00976C4E" w:rsidRPr="00E26CD2">
        <w:rPr>
          <w:rFonts w:ascii="Times" w:hAnsi="Times" w:cs="Times"/>
        </w:rPr>
        <w:t>Several covariates of interest differed significantly by race/ ethnicity</w:t>
      </w:r>
      <w:r w:rsidR="00A40CE4" w:rsidRPr="00E26CD2">
        <w:rPr>
          <w:rFonts w:ascii="Times" w:hAnsi="Times" w:cs="Times"/>
        </w:rPr>
        <w:t xml:space="preserve"> (Table 1). </w:t>
      </w:r>
      <w:r w:rsidR="000E5F83" w:rsidRPr="00E26CD2">
        <w:rPr>
          <w:rFonts w:ascii="Times" w:hAnsi="Times" w:cs="Times"/>
        </w:rPr>
        <w:t>For instance, o</w:t>
      </w:r>
      <w:r w:rsidR="00DB0B32" w:rsidRPr="00E26CD2">
        <w:rPr>
          <w:rFonts w:ascii="Times" w:hAnsi="Times" w:cs="Times"/>
        </w:rPr>
        <w:t xml:space="preserve">besity at admission </w:t>
      </w:r>
      <w:r w:rsidR="00505D6E" w:rsidRPr="00E26CD2">
        <w:rPr>
          <w:rFonts w:ascii="Times" w:hAnsi="Times" w:cs="Times"/>
        </w:rPr>
        <w:t xml:space="preserve">(BMI </w:t>
      </w:r>
      <w:r w:rsidR="0003306A" w:rsidRPr="00E26CD2">
        <w:rPr>
          <w:rFonts w:ascii="Times" w:hAnsi="Times" w:cs="Times"/>
        </w:rPr>
        <w:t>≥</w:t>
      </w:r>
      <w:r w:rsidR="00505D6E" w:rsidRPr="00E26CD2">
        <w:rPr>
          <w:rFonts w:ascii="Times" w:hAnsi="Times" w:cs="Times"/>
        </w:rPr>
        <w:t xml:space="preserve"> 30</w:t>
      </w:r>
      <w:r w:rsidR="0003306A" w:rsidRPr="00E26CD2">
        <w:rPr>
          <w:rFonts w:ascii="Times" w:hAnsi="Times" w:cs="Times"/>
        </w:rPr>
        <w:t>kg/m</w:t>
      </w:r>
      <w:r w:rsidR="0003306A" w:rsidRPr="00E26CD2">
        <w:rPr>
          <w:rFonts w:ascii="Times" w:hAnsi="Times" w:cs="Times"/>
          <w:vertAlign w:val="superscript"/>
        </w:rPr>
        <w:t>2</w:t>
      </w:r>
      <w:r w:rsidR="00505D6E" w:rsidRPr="00E26CD2">
        <w:rPr>
          <w:rFonts w:ascii="Times" w:hAnsi="Times" w:cs="Times"/>
        </w:rPr>
        <w:t xml:space="preserve">) </w:t>
      </w:r>
      <w:r w:rsidR="00DB0B32" w:rsidRPr="00E26CD2">
        <w:rPr>
          <w:rFonts w:ascii="Times" w:hAnsi="Times" w:cs="Times"/>
        </w:rPr>
        <w:t>was most common among NH Hawaiian/ Pacific Islander (</w:t>
      </w:r>
      <w:r w:rsidR="00505D6E" w:rsidRPr="00E26CD2">
        <w:rPr>
          <w:rFonts w:ascii="Times" w:hAnsi="Times" w:cs="Times"/>
        </w:rPr>
        <w:t>82</w:t>
      </w:r>
      <w:r w:rsidR="00DB0B32" w:rsidRPr="00E26CD2">
        <w:rPr>
          <w:rFonts w:ascii="Times" w:hAnsi="Times" w:cs="Times"/>
        </w:rPr>
        <w:t xml:space="preserve">%) and least common among </w:t>
      </w:r>
      <w:r w:rsidR="00E05DF8">
        <w:rPr>
          <w:rFonts w:ascii="Times" w:hAnsi="Times" w:cs="Times"/>
        </w:rPr>
        <w:t xml:space="preserve">NH </w:t>
      </w:r>
      <w:r w:rsidR="00DB0B32" w:rsidRPr="00E26CD2">
        <w:rPr>
          <w:rFonts w:ascii="Times" w:hAnsi="Times" w:cs="Times"/>
        </w:rPr>
        <w:t>Asian patients (</w:t>
      </w:r>
      <w:r w:rsidR="00DC4728" w:rsidRPr="00E26CD2">
        <w:rPr>
          <w:rFonts w:ascii="Times" w:hAnsi="Times" w:cs="Times"/>
        </w:rPr>
        <w:t>33</w:t>
      </w:r>
      <w:r w:rsidR="00DB0B32" w:rsidRPr="00E26CD2">
        <w:rPr>
          <w:rFonts w:ascii="Times" w:hAnsi="Times" w:cs="Times"/>
        </w:rPr>
        <w:t>%).</w:t>
      </w:r>
    </w:p>
    <w:p w14:paraId="3AF96DF4" w14:textId="3F9D6D70" w:rsidR="003E354D" w:rsidRPr="00E26CD2" w:rsidRDefault="009248A7" w:rsidP="00371ECB">
      <w:pPr>
        <w:pStyle w:val="NormalWeb"/>
        <w:spacing w:before="0" w:beforeAutospacing="0" w:after="0" w:afterAutospacing="0" w:line="480" w:lineRule="auto"/>
        <w:ind w:firstLine="720"/>
        <w:rPr>
          <w:rFonts w:ascii="Times" w:hAnsi="Times" w:cs="Times"/>
        </w:rPr>
      </w:pPr>
      <w:r w:rsidRPr="009248A7">
        <w:rPr>
          <w:rFonts w:ascii="Times" w:hAnsi="Times" w:cs="Times"/>
        </w:rPr>
        <w:t xml:space="preserve">NH Black patients had a 41% increased risk of </w:t>
      </w:r>
      <w:r w:rsidR="00A40CE4">
        <w:rPr>
          <w:rFonts w:ascii="Times" w:hAnsi="Times" w:cs="Times"/>
        </w:rPr>
        <w:t xml:space="preserve">NTSV </w:t>
      </w:r>
      <w:r w:rsidR="00B36DFD">
        <w:rPr>
          <w:rFonts w:ascii="Times" w:hAnsi="Times" w:cs="Times"/>
        </w:rPr>
        <w:t>c</w:t>
      </w:r>
      <w:r w:rsidRPr="009248A7">
        <w:rPr>
          <w:rFonts w:ascii="Times" w:hAnsi="Times" w:cs="Times"/>
        </w:rPr>
        <w:t xml:space="preserve">esarean </w:t>
      </w:r>
      <w:r w:rsidR="00A40CE4">
        <w:rPr>
          <w:rFonts w:ascii="Times" w:hAnsi="Times" w:cs="Times"/>
        </w:rPr>
        <w:t>delivery</w:t>
      </w:r>
      <w:r w:rsidR="00B36DFD" w:rsidRPr="009248A7">
        <w:rPr>
          <w:rFonts w:ascii="Times" w:hAnsi="Times" w:cs="Times"/>
        </w:rPr>
        <w:t xml:space="preserve"> </w:t>
      </w:r>
      <w:r w:rsidRPr="009248A7">
        <w:rPr>
          <w:rFonts w:ascii="Times" w:hAnsi="Times" w:cs="Times"/>
        </w:rPr>
        <w:t>(aRR 1.41, 95% CI</w:t>
      </w:r>
      <w:r w:rsidR="00E26CD2">
        <w:rPr>
          <w:rFonts w:ascii="Times" w:hAnsi="Times" w:cs="Times"/>
        </w:rPr>
        <w:t xml:space="preserve"> </w:t>
      </w:r>
      <w:r w:rsidRPr="009248A7">
        <w:rPr>
          <w:rFonts w:ascii="Times" w:hAnsi="Times" w:cs="Times"/>
        </w:rPr>
        <w:t xml:space="preserve">1.23, 1.61) </w:t>
      </w:r>
      <w:r w:rsidR="00A40CE4">
        <w:rPr>
          <w:rFonts w:ascii="Times" w:hAnsi="Times" w:cs="Times"/>
        </w:rPr>
        <w:t>and a 90% increased risk of 30-day maternal readmission (</w:t>
      </w:r>
      <w:r w:rsidR="00A40CE4" w:rsidRPr="009248A7">
        <w:rPr>
          <w:rFonts w:ascii="Times" w:hAnsi="Times" w:cs="Times"/>
        </w:rPr>
        <w:t>aRR 1.</w:t>
      </w:r>
      <w:r w:rsidR="00A40CE4">
        <w:rPr>
          <w:rFonts w:ascii="Times" w:hAnsi="Times" w:cs="Times"/>
        </w:rPr>
        <w:t>90</w:t>
      </w:r>
      <w:r w:rsidR="00A40CE4" w:rsidRPr="009248A7">
        <w:rPr>
          <w:rFonts w:ascii="Times" w:hAnsi="Times" w:cs="Times"/>
        </w:rPr>
        <w:t>, 95% CI</w:t>
      </w:r>
      <w:r w:rsidR="00E26CD2">
        <w:rPr>
          <w:rFonts w:ascii="Times" w:hAnsi="Times" w:cs="Times"/>
        </w:rPr>
        <w:t xml:space="preserve"> </w:t>
      </w:r>
      <w:r w:rsidR="00A40CE4" w:rsidRPr="009248A7">
        <w:rPr>
          <w:rFonts w:ascii="Times" w:hAnsi="Times" w:cs="Times"/>
        </w:rPr>
        <w:t>1.</w:t>
      </w:r>
      <w:r w:rsidR="00A40CE4">
        <w:rPr>
          <w:rFonts w:ascii="Times" w:hAnsi="Times" w:cs="Times"/>
        </w:rPr>
        <w:t>49</w:t>
      </w:r>
      <w:r w:rsidR="00A40CE4" w:rsidRPr="009248A7">
        <w:rPr>
          <w:rFonts w:ascii="Times" w:hAnsi="Times" w:cs="Times"/>
        </w:rPr>
        <w:t xml:space="preserve">, </w:t>
      </w:r>
      <w:r w:rsidR="00A40CE4">
        <w:rPr>
          <w:rFonts w:ascii="Times" w:hAnsi="Times" w:cs="Times"/>
        </w:rPr>
        <w:t>2.41</w:t>
      </w:r>
      <w:r w:rsidR="00A40CE4" w:rsidRPr="009248A7">
        <w:rPr>
          <w:rFonts w:ascii="Times" w:hAnsi="Times" w:cs="Times"/>
        </w:rPr>
        <w:t>)</w:t>
      </w:r>
      <w:r w:rsidR="00A40CE4">
        <w:rPr>
          <w:rFonts w:ascii="Times" w:hAnsi="Times" w:cs="Times"/>
        </w:rPr>
        <w:t xml:space="preserve"> </w:t>
      </w:r>
      <w:r w:rsidR="00A40CE4" w:rsidRPr="009248A7">
        <w:rPr>
          <w:rFonts w:ascii="Times" w:hAnsi="Times" w:cs="Times"/>
        </w:rPr>
        <w:t>compared to NH White patients</w:t>
      </w:r>
      <w:r w:rsidR="008B3C66">
        <w:rPr>
          <w:rFonts w:ascii="Times" w:hAnsi="Times" w:cs="Times"/>
        </w:rPr>
        <w:t xml:space="preserve"> (Table 2)</w:t>
      </w:r>
      <w:r w:rsidR="00A40CE4">
        <w:rPr>
          <w:rFonts w:ascii="Times" w:hAnsi="Times" w:cs="Times"/>
        </w:rPr>
        <w:t xml:space="preserve">. </w:t>
      </w:r>
      <w:r w:rsidRPr="009248A7">
        <w:rPr>
          <w:rFonts w:ascii="Times" w:hAnsi="Times" w:cs="Times"/>
        </w:rPr>
        <w:t xml:space="preserve">NH Asian patients were at a significantly elevated risk of </w:t>
      </w:r>
      <w:r w:rsidR="00A40CE4">
        <w:rPr>
          <w:rFonts w:ascii="Times" w:hAnsi="Times" w:cs="Times"/>
        </w:rPr>
        <w:t xml:space="preserve">NTSV </w:t>
      </w:r>
      <w:r w:rsidR="00B36DFD" w:rsidRPr="00980FEA">
        <w:rPr>
          <w:rFonts w:ascii="Times" w:hAnsi="Times" w:cs="Times"/>
        </w:rPr>
        <w:t>c</w:t>
      </w:r>
      <w:r w:rsidRPr="00980FEA">
        <w:rPr>
          <w:rFonts w:ascii="Times" w:hAnsi="Times" w:cs="Times"/>
        </w:rPr>
        <w:t xml:space="preserve">esarean </w:t>
      </w:r>
      <w:r w:rsidR="00A40CE4" w:rsidRPr="00980FEA">
        <w:rPr>
          <w:rFonts w:ascii="Times" w:hAnsi="Times" w:cs="Times"/>
        </w:rPr>
        <w:t>delivery</w:t>
      </w:r>
      <w:r w:rsidR="00E05DF8">
        <w:rPr>
          <w:rFonts w:ascii="Times" w:hAnsi="Times" w:cs="Times"/>
        </w:rPr>
        <w:t xml:space="preserve"> </w:t>
      </w:r>
      <w:r w:rsidR="00E05DF8" w:rsidRPr="00980FEA">
        <w:rPr>
          <w:rFonts w:ascii="Times" w:hAnsi="Times" w:cs="Times"/>
        </w:rPr>
        <w:t>(aRR 1.31, 95% CI</w:t>
      </w:r>
      <w:r w:rsidR="00E05DF8">
        <w:rPr>
          <w:rFonts w:ascii="Times" w:hAnsi="Times" w:cs="Times"/>
        </w:rPr>
        <w:t xml:space="preserve"> </w:t>
      </w:r>
      <w:r w:rsidR="00E05DF8" w:rsidRPr="00980FEA">
        <w:rPr>
          <w:rFonts w:ascii="Times" w:hAnsi="Times" w:cs="Times"/>
        </w:rPr>
        <w:t>1.21, 1.41</w:t>
      </w:r>
      <w:r w:rsidR="00E05DF8">
        <w:rPr>
          <w:rFonts w:ascii="Times" w:hAnsi="Times" w:cs="Times"/>
        </w:rPr>
        <w:t>)</w:t>
      </w:r>
      <w:r w:rsidR="00B36DFD" w:rsidRPr="00980FEA">
        <w:rPr>
          <w:rFonts w:ascii="Times" w:hAnsi="Times" w:cs="Times"/>
        </w:rPr>
        <w:t xml:space="preserve"> </w:t>
      </w:r>
      <w:r w:rsidR="00980FEA" w:rsidRPr="00980FEA">
        <w:rPr>
          <w:rFonts w:ascii="Times" w:hAnsi="Times" w:cs="Times"/>
        </w:rPr>
        <w:t>and 3</w:t>
      </w:r>
      <w:r w:rsidR="00980FEA" w:rsidRPr="00980FEA">
        <w:rPr>
          <w:rFonts w:ascii="Times" w:hAnsi="Times" w:cs="Times"/>
          <w:vertAlign w:val="superscript"/>
        </w:rPr>
        <w:t>rd</w:t>
      </w:r>
      <w:r w:rsidR="00980FEA" w:rsidRPr="00980FEA">
        <w:rPr>
          <w:rFonts w:ascii="Times" w:hAnsi="Times" w:cs="Times"/>
        </w:rPr>
        <w:t>/4</w:t>
      </w:r>
      <w:r w:rsidR="00980FEA" w:rsidRPr="00980FEA">
        <w:rPr>
          <w:rFonts w:ascii="Times" w:hAnsi="Times" w:cs="Times"/>
          <w:vertAlign w:val="superscript"/>
        </w:rPr>
        <w:t>th</w:t>
      </w:r>
      <w:r w:rsidR="00980FEA" w:rsidRPr="00980FEA">
        <w:rPr>
          <w:rFonts w:ascii="Times" w:hAnsi="Times" w:cs="Times"/>
        </w:rPr>
        <w:t xml:space="preserve"> degree laceration </w:t>
      </w:r>
      <w:r w:rsidR="00E05DF8">
        <w:rPr>
          <w:rFonts w:ascii="Times" w:hAnsi="Times" w:cs="Times"/>
        </w:rPr>
        <w:t>(</w:t>
      </w:r>
      <w:r w:rsidR="00E05DF8" w:rsidRPr="00980FEA">
        <w:rPr>
          <w:rFonts w:ascii="Times" w:hAnsi="Times" w:cs="Times"/>
        </w:rPr>
        <w:t xml:space="preserve">aRR </w:t>
      </w:r>
      <w:r w:rsidR="00E05DF8" w:rsidRPr="00980FEA">
        <w:rPr>
          <w:rFonts w:ascii="Times" w:hAnsi="Times" w:cs="Times"/>
          <w:color w:val="000000" w:themeColor="text1"/>
        </w:rPr>
        <w:t>2.32, 95% CI</w:t>
      </w:r>
      <w:r w:rsidR="00E05DF8">
        <w:rPr>
          <w:rFonts w:ascii="Times" w:hAnsi="Times" w:cs="Times"/>
          <w:color w:val="000000" w:themeColor="text1"/>
        </w:rPr>
        <w:t xml:space="preserve"> </w:t>
      </w:r>
      <w:r w:rsidR="00E05DF8" w:rsidRPr="00980FEA">
        <w:rPr>
          <w:rFonts w:ascii="Times" w:hAnsi="Times" w:cs="Times"/>
          <w:color w:val="000000" w:themeColor="text1"/>
        </w:rPr>
        <w:t>1.95, 2.55</w:t>
      </w:r>
      <w:r w:rsidR="00E05DF8">
        <w:rPr>
          <w:rFonts w:ascii="Times" w:hAnsi="Times" w:cs="Times"/>
          <w:color w:val="000000" w:themeColor="text1"/>
        </w:rPr>
        <w:t>)</w:t>
      </w:r>
      <w:r w:rsidR="00E05DF8" w:rsidRPr="00980FEA">
        <w:rPr>
          <w:rFonts w:ascii="Times" w:hAnsi="Times" w:cs="Times"/>
        </w:rPr>
        <w:t xml:space="preserve"> </w:t>
      </w:r>
      <w:r w:rsidRPr="00980FEA">
        <w:rPr>
          <w:rFonts w:ascii="Times" w:hAnsi="Times" w:cs="Times"/>
        </w:rPr>
        <w:t>compared to NH White patients</w:t>
      </w:r>
      <w:r w:rsidR="00E05DF8">
        <w:rPr>
          <w:rFonts w:ascii="Times" w:hAnsi="Times" w:cs="Times"/>
        </w:rPr>
        <w:t xml:space="preserve">. NH </w:t>
      </w:r>
      <w:r w:rsidR="00705952" w:rsidRPr="00980FEA">
        <w:rPr>
          <w:rFonts w:ascii="Times" w:hAnsi="Times" w:cs="Times"/>
        </w:rPr>
        <w:t>Indigenous/ First Persons</w:t>
      </w:r>
      <w:r w:rsidR="000E5F83">
        <w:rPr>
          <w:rFonts w:ascii="Times" w:hAnsi="Times" w:cs="Times"/>
        </w:rPr>
        <w:t xml:space="preserve">, </w:t>
      </w:r>
      <w:r w:rsidR="00705952" w:rsidRPr="00980FEA">
        <w:rPr>
          <w:rFonts w:ascii="Times" w:hAnsi="Times" w:cs="Times"/>
        </w:rPr>
        <w:t>Hispanic/Latinx</w:t>
      </w:r>
      <w:r w:rsidR="000E5F83">
        <w:rPr>
          <w:rFonts w:ascii="Times" w:hAnsi="Times" w:cs="Times"/>
        </w:rPr>
        <w:t xml:space="preserve">, and </w:t>
      </w:r>
      <w:r w:rsidR="00E05DF8">
        <w:rPr>
          <w:rFonts w:ascii="Times" w:hAnsi="Times" w:cs="Times"/>
        </w:rPr>
        <w:t xml:space="preserve">NH </w:t>
      </w:r>
      <w:r w:rsidR="00E26CD2">
        <w:rPr>
          <w:rFonts w:ascii="Times" w:hAnsi="Times" w:cs="Times"/>
        </w:rPr>
        <w:t>M</w:t>
      </w:r>
      <w:r w:rsidR="000E5F83">
        <w:rPr>
          <w:rFonts w:ascii="Times" w:hAnsi="Times" w:cs="Times"/>
        </w:rPr>
        <w:t xml:space="preserve">ultiple </w:t>
      </w:r>
      <w:r w:rsidR="00E26CD2">
        <w:rPr>
          <w:rFonts w:ascii="Times" w:hAnsi="Times" w:cs="Times"/>
        </w:rPr>
        <w:t>R</w:t>
      </w:r>
      <w:r w:rsidR="000E5F83">
        <w:rPr>
          <w:rFonts w:ascii="Times" w:hAnsi="Times" w:cs="Times"/>
        </w:rPr>
        <w:t>ace</w:t>
      </w:r>
      <w:r w:rsidR="00732F02" w:rsidRPr="00980FEA">
        <w:rPr>
          <w:rFonts w:ascii="Times" w:hAnsi="Times" w:cs="Times"/>
        </w:rPr>
        <w:t xml:space="preserve"> patients had increased risk of SMM</w:t>
      </w:r>
      <w:r w:rsidR="000E5F83" w:rsidRPr="000E5F83">
        <w:rPr>
          <w:rFonts w:ascii="Times" w:hAnsi="Times"/>
        </w:rPr>
        <w:t xml:space="preserve"> </w:t>
      </w:r>
      <w:r w:rsidR="000E5F83" w:rsidRPr="00980FEA">
        <w:rPr>
          <w:rFonts w:ascii="Times" w:hAnsi="Times"/>
        </w:rPr>
        <w:t>compared to NH White patients</w:t>
      </w:r>
      <w:r w:rsidR="000E5F83">
        <w:rPr>
          <w:rFonts w:ascii="Times" w:hAnsi="Times" w:cs="Times"/>
        </w:rPr>
        <w:t xml:space="preserve"> </w:t>
      </w:r>
      <w:r w:rsidR="00732F02" w:rsidRPr="00980FEA">
        <w:rPr>
          <w:rFonts w:ascii="Times" w:hAnsi="Times" w:cs="Times"/>
        </w:rPr>
        <w:t>(</w:t>
      </w:r>
      <w:r w:rsidR="00705952" w:rsidRPr="00980FEA">
        <w:rPr>
          <w:rFonts w:ascii="Times" w:hAnsi="Times" w:cs="Times"/>
        </w:rPr>
        <w:t xml:space="preserve">aRR </w:t>
      </w:r>
      <w:r w:rsidR="00705952" w:rsidRPr="00980FEA">
        <w:rPr>
          <w:rFonts w:ascii="Times" w:hAnsi="Times"/>
        </w:rPr>
        <w:t>2.11, 95% CI</w:t>
      </w:r>
      <w:r w:rsidR="00E26CD2">
        <w:rPr>
          <w:rFonts w:ascii="Times" w:hAnsi="Times"/>
        </w:rPr>
        <w:t xml:space="preserve"> </w:t>
      </w:r>
      <w:r w:rsidR="00705952" w:rsidRPr="00980FEA">
        <w:rPr>
          <w:rFonts w:ascii="Times" w:hAnsi="Times"/>
        </w:rPr>
        <w:t>1.2</w:t>
      </w:r>
      <w:r w:rsidR="00A40CE4" w:rsidRPr="00980FEA">
        <w:rPr>
          <w:rFonts w:ascii="Times" w:hAnsi="Times"/>
        </w:rPr>
        <w:t>3</w:t>
      </w:r>
      <w:r w:rsidR="00705952" w:rsidRPr="00980FEA">
        <w:rPr>
          <w:rFonts w:ascii="Times" w:hAnsi="Times"/>
        </w:rPr>
        <w:t>, 3.5</w:t>
      </w:r>
      <w:r w:rsidR="00A40CE4" w:rsidRPr="00980FEA">
        <w:rPr>
          <w:rFonts w:ascii="Times" w:hAnsi="Times"/>
        </w:rPr>
        <w:t>4</w:t>
      </w:r>
      <w:r w:rsidR="00705952" w:rsidRPr="00980FEA">
        <w:rPr>
          <w:rFonts w:ascii="Times" w:hAnsi="Times"/>
        </w:rPr>
        <w:t xml:space="preserve">; </w:t>
      </w:r>
      <w:r w:rsidR="00732F02" w:rsidRPr="00980FEA">
        <w:rPr>
          <w:rFonts w:ascii="Times" w:hAnsi="Times" w:cs="Times"/>
        </w:rPr>
        <w:t xml:space="preserve">aRR </w:t>
      </w:r>
      <w:r w:rsidR="00705952" w:rsidRPr="00980FEA">
        <w:rPr>
          <w:rFonts w:ascii="Times" w:hAnsi="Times"/>
        </w:rPr>
        <w:t>1.48, 95% CI</w:t>
      </w:r>
      <w:r w:rsidR="00E26CD2">
        <w:rPr>
          <w:rFonts w:ascii="Times" w:hAnsi="Times"/>
        </w:rPr>
        <w:t xml:space="preserve"> </w:t>
      </w:r>
      <w:r w:rsidR="00705952" w:rsidRPr="00980FEA">
        <w:rPr>
          <w:rFonts w:ascii="Times" w:hAnsi="Times"/>
        </w:rPr>
        <w:t>1.</w:t>
      </w:r>
      <w:r w:rsidR="00A40CE4" w:rsidRPr="00980FEA">
        <w:rPr>
          <w:rFonts w:ascii="Times" w:hAnsi="Times"/>
        </w:rPr>
        <w:t>20</w:t>
      </w:r>
      <w:r w:rsidR="00705952" w:rsidRPr="00980FEA">
        <w:rPr>
          <w:rFonts w:ascii="Times" w:hAnsi="Times"/>
        </w:rPr>
        <w:t>, 1.8</w:t>
      </w:r>
      <w:r w:rsidR="00A40CE4" w:rsidRPr="00980FEA">
        <w:rPr>
          <w:rFonts w:ascii="Times" w:hAnsi="Times"/>
        </w:rPr>
        <w:t>6</w:t>
      </w:r>
      <w:r w:rsidR="000E5F83">
        <w:rPr>
          <w:rFonts w:ascii="Times" w:hAnsi="Times"/>
        </w:rPr>
        <w:t xml:space="preserve">; aRR 1.76, 95% CI 1.01, 3.24, </w:t>
      </w:r>
      <w:r w:rsidR="00E05DF8">
        <w:rPr>
          <w:rFonts w:ascii="Times" w:hAnsi="Times"/>
        </w:rPr>
        <w:t>respectively</w:t>
      </w:r>
      <w:r w:rsidR="00705952" w:rsidRPr="00980FEA">
        <w:rPr>
          <w:rFonts w:ascii="Times" w:hAnsi="Times"/>
        </w:rPr>
        <w:t>).</w:t>
      </w:r>
      <w:r w:rsidR="00E26CD2">
        <w:rPr>
          <w:rFonts w:ascii="Times" w:hAnsi="Times"/>
        </w:rPr>
        <w:t xml:space="preserve"> NH patients who self-classified their race/ ethnicity as “Other” were at a significantly greater risk of 3</w:t>
      </w:r>
      <w:r w:rsidR="00E26CD2" w:rsidRPr="00E26CD2">
        <w:rPr>
          <w:rFonts w:ascii="Times" w:hAnsi="Times"/>
          <w:vertAlign w:val="superscript"/>
        </w:rPr>
        <w:t>rd</w:t>
      </w:r>
      <w:r w:rsidR="00E26CD2">
        <w:rPr>
          <w:rFonts w:ascii="Times" w:hAnsi="Times"/>
        </w:rPr>
        <w:t>/ 4</w:t>
      </w:r>
      <w:r w:rsidR="00E26CD2" w:rsidRPr="00E26CD2">
        <w:rPr>
          <w:rFonts w:ascii="Times" w:hAnsi="Times"/>
          <w:vertAlign w:val="superscript"/>
        </w:rPr>
        <w:t>th</w:t>
      </w:r>
      <w:r w:rsidR="00E26CD2">
        <w:rPr>
          <w:rFonts w:ascii="Times" w:hAnsi="Times"/>
        </w:rPr>
        <w:t xml:space="preserve"> degree laceration </w:t>
      </w:r>
      <w:r w:rsidR="00E26CD2" w:rsidRPr="00E26CD2">
        <w:rPr>
          <w:rFonts w:ascii="Times" w:hAnsi="Times"/>
        </w:rPr>
        <w:t xml:space="preserve">(aRR </w:t>
      </w:r>
      <w:r w:rsidR="00E26CD2" w:rsidRPr="00E26CD2">
        <w:rPr>
          <w:rFonts w:ascii="Times" w:hAnsi="Times" w:cs="Times"/>
          <w:color w:val="000000" w:themeColor="text1"/>
        </w:rPr>
        <w:t>1.72, 95% CI 1.21, 2.46)</w:t>
      </w:r>
      <w:r w:rsidR="00E26CD2">
        <w:rPr>
          <w:rFonts w:ascii="Times" w:hAnsi="Times" w:cs="Times"/>
          <w:color w:val="000000" w:themeColor="text1"/>
        </w:rPr>
        <w:t>.</w:t>
      </w:r>
    </w:p>
    <w:p w14:paraId="2205E792" w14:textId="3B47D1E6" w:rsidR="00C31622" w:rsidRPr="00B378C7" w:rsidRDefault="00B36DFD" w:rsidP="00EC497E">
      <w:pPr>
        <w:pStyle w:val="NormalWeb"/>
        <w:spacing w:before="0" w:beforeAutospacing="0" w:after="0" w:afterAutospacing="0" w:line="480" w:lineRule="auto"/>
        <w:ind w:firstLine="720"/>
        <w:rPr>
          <w:color w:val="000000" w:themeColor="text1"/>
        </w:rPr>
      </w:pPr>
      <w:r>
        <w:rPr>
          <w:rFonts w:ascii="Times" w:hAnsi="Times" w:cs="Times"/>
        </w:rPr>
        <w:t xml:space="preserve"> </w:t>
      </w:r>
      <w:r w:rsidR="00E26CD2">
        <w:rPr>
          <w:rFonts w:ascii="Times" w:hAnsi="Times" w:cs="Times"/>
        </w:rPr>
        <w:t xml:space="preserve">NH </w:t>
      </w:r>
      <w:r w:rsidR="00C769D4">
        <w:rPr>
          <w:rFonts w:ascii="Times" w:hAnsi="Times" w:cs="Times"/>
        </w:rPr>
        <w:t xml:space="preserve">Black, </w:t>
      </w:r>
      <w:r w:rsidR="00FE3C44" w:rsidRPr="00786837">
        <w:rPr>
          <w:rFonts w:ascii="Times" w:hAnsi="Times" w:cs="Times"/>
        </w:rPr>
        <w:t>Hawaiian/ Pacific Islander</w:t>
      </w:r>
      <w:r w:rsidR="00E26CD2">
        <w:rPr>
          <w:rFonts w:ascii="Times" w:hAnsi="Times" w:cs="Times"/>
        </w:rPr>
        <w:t>,</w:t>
      </w:r>
      <w:r w:rsidR="00FE3C44" w:rsidRPr="00786837">
        <w:rPr>
          <w:rFonts w:ascii="Times" w:hAnsi="Times" w:cs="Times"/>
        </w:rPr>
        <w:t xml:space="preserve"> and Indigenous/ First Nations patients </w:t>
      </w:r>
      <w:r w:rsidR="008A20ED">
        <w:rPr>
          <w:rFonts w:ascii="Times" w:hAnsi="Times" w:cs="Times"/>
        </w:rPr>
        <w:t xml:space="preserve">had </w:t>
      </w:r>
      <w:r w:rsidR="00025EF7">
        <w:rPr>
          <w:rFonts w:ascii="Times" w:hAnsi="Times" w:cs="Times"/>
        </w:rPr>
        <w:t xml:space="preserve">increased risk of </w:t>
      </w:r>
      <w:r w:rsidR="00C769D4">
        <w:rPr>
          <w:rFonts w:ascii="Times" w:hAnsi="Times" w:cs="Times"/>
        </w:rPr>
        <w:t xml:space="preserve">absent or minimal </w:t>
      </w:r>
      <w:r w:rsidR="00025EF7">
        <w:rPr>
          <w:rFonts w:ascii="Times" w:hAnsi="Times" w:cs="Times"/>
        </w:rPr>
        <w:t>prenatal care</w:t>
      </w:r>
      <w:r w:rsidR="008A20ED">
        <w:rPr>
          <w:rFonts w:ascii="Times" w:hAnsi="Times" w:cs="Times"/>
        </w:rPr>
        <w:t xml:space="preserve"> </w:t>
      </w:r>
      <w:r w:rsidR="00570EB5">
        <w:rPr>
          <w:rFonts w:ascii="Times" w:hAnsi="Times" w:cs="Times"/>
        </w:rPr>
        <w:t xml:space="preserve">compared with </w:t>
      </w:r>
      <w:r w:rsidR="008A20ED">
        <w:rPr>
          <w:rFonts w:ascii="Times" w:hAnsi="Times" w:cs="Times"/>
        </w:rPr>
        <w:t>NH White patients</w:t>
      </w:r>
      <w:r w:rsidR="005E09AC" w:rsidRPr="00786837">
        <w:rPr>
          <w:rFonts w:ascii="Times" w:hAnsi="Times" w:cs="Times"/>
        </w:rPr>
        <w:t xml:space="preserve"> (</w:t>
      </w:r>
      <w:r w:rsidR="00C769D4">
        <w:rPr>
          <w:rFonts w:ascii="Times" w:hAnsi="Times" w:cs="Times"/>
        </w:rPr>
        <w:t>aR</w:t>
      </w:r>
      <w:r w:rsidR="00C769D4" w:rsidRPr="00786837">
        <w:rPr>
          <w:rFonts w:ascii="Times" w:hAnsi="Times" w:cs="Times"/>
        </w:rPr>
        <w:t xml:space="preserve">R </w:t>
      </w:r>
      <w:r w:rsidR="00C769D4">
        <w:rPr>
          <w:rFonts w:ascii="Times" w:hAnsi="Times" w:cs="Times"/>
          <w:color w:val="000000" w:themeColor="text1"/>
        </w:rPr>
        <w:t>1.63,</w:t>
      </w:r>
      <w:r w:rsidR="00C769D4" w:rsidRPr="00786837">
        <w:rPr>
          <w:rFonts w:ascii="Times" w:hAnsi="Times" w:cs="Times"/>
          <w:color w:val="000000" w:themeColor="text1"/>
        </w:rPr>
        <w:t xml:space="preserve"> 95% CI</w:t>
      </w:r>
      <w:r w:rsidR="00E26CD2">
        <w:rPr>
          <w:rFonts w:ascii="Times" w:hAnsi="Times" w:cs="Times"/>
          <w:color w:val="000000" w:themeColor="text1"/>
        </w:rPr>
        <w:t xml:space="preserve"> </w:t>
      </w:r>
      <w:r w:rsidR="00C769D4">
        <w:rPr>
          <w:rFonts w:ascii="Times" w:hAnsi="Times" w:cs="Times"/>
          <w:color w:val="000000" w:themeColor="text1"/>
        </w:rPr>
        <w:t xml:space="preserve">1.41, 1.88; </w:t>
      </w:r>
      <w:r w:rsidR="00025EF7">
        <w:rPr>
          <w:rFonts w:ascii="Times" w:hAnsi="Times" w:cs="Times"/>
        </w:rPr>
        <w:t>a</w:t>
      </w:r>
      <w:r w:rsidR="00217A11">
        <w:rPr>
          <w:rFonts w:ascii="Times" w:hAnsi="Times" w:cs="Times"/>
        </w:rPr>
        <w:t>R</w:t>
      </w:r>
      <w:r w:rsidR="005E09AC" w:rsidRPr="00786837">
        <w:rPr>
          <w:rFonts w:ascii="Times" w:hAnsi="Times" w:cs="Times"/>
        </w:rPr>
        <w:t xml:space="preserve">R </w:t>
      </w:r>
      <w:r w:rsidR="00025EF7">
        <w:rPr>
          <w:rFonts w:ascii="Times" w:hAnsi="Times" w:cs="Times"/>
          <w:color w:val="000000" w:themeColor="text1"/>
        </w:rPr>
        <w:t>2.66</w:t>
      </w:r>
      <w:r w:rsidR="0072263C">
        <w:rPr>
          <w:rFonts w:ascii="Times" w:hAnsi="Times" w:cs="Times"/>
          <w:color w:val="000000" w:themeColor="text1"/>
        </w:rPr>
        <w:t>,</w:t>
      </w:r>
      <w:r w:rsidR="005E09AC" w:rsidRPr="00786837">
        <w:rPr>
          <w:rFonts w:ascii="Times" w:hAnsi="Times" w:cs="Times"/>
          <w:color w:val="000000" w:themeColor="text1"/>
        </w:rPr>
        <w:t xml:space="preserve"> 95% CI</w:t>
      </w:r>
      <w:r w:rsidR="00E26CD2">
        <w:rPr>
          <w:rFonts w:ascii="Times" w:hAnsi="Times" w:cs="Times"/>
          <w:color w:val="000000" w:themeColor="text1"/>
        </w:rPr>
        <w:t xml:space="preserve"> </w:t>
      </w:r>
      <w:r w:rsidR="00025EF7">
        <w:rPr>
          <w:rFonts w:ascii="Times" w:hAnsi="Times" w:cs="Times"/>
          <w:color w:val="000000" w:themeColor="text1"/>
        </w:rPr>
        <w:t>2.16, 3.26</w:t>
      </w:r>
      <w:r w:rsidR="0072263C">
        <w:rPr>
          <w:rFonts w:ascii="Times" w:hAnsi="Times" w:cs="Times"/>
          <w:color w:val="000000" w:themeColor="text1"/>
        </w:rPr>
        <w:t>;</w:t>
      </w:r>
      <w:r w:rsidR="005E09AC" w:rsidRPr="00786837">
        <w:rPr>
          <w:rFonts w:ascii="Times" w:hAnsi="Times" w:cs="Times"/>
          <w:color w:val="000000" w:themeColor="text1"/>
        </w:rPr>
        <w:t xml:space="preserve"> </w:t>
      </w:r>
      <w:r w:rsidR="00025EF7">
        <w:rPr>
          <w:rFonts w:ascii="Times" w:hAnsi="Times" w:cs="Times"/>
          <w:color w:val="000000" w:themeColor="text1"/>
        </w:rPr>
        <w:t>a</w:t>
      </w:r>
      <w:r w:rsidR="00217A11">
        <w:rPr>
          <w:rFonts w:ascii="Times" w:hAnsi="Times" w:cs="Times"/>
          <w:color w:val="000000" w:themeColor="text1"/>
        </w:rPr>
        <w:t>R</w:t>
      </w:r>
      <w:r w:rsidR="005E09AC" w:rsidRPr="00786837">
        <w:rPr>
          <w:rFonts w:ascii="Times" w:hAnsi="Times" w:cs="Times"/>
          <w:color w:val="000000" w:themeColor="text1"/>
        </w:rPr>
        <w:t xml:space="preserve">R </w:t>
      </w:r>
      <w:r w:rsidR="00025EF7">
        <w:rPr>
          <w:rFonts w:ascii="Times" w:hAnsi="Times" w:cs="Times"/>
          <w:color w:val="000000" w:themeColor="text1"/>
        </w:rPr>
        <w:t>2.38</w:t>
      </w:r>
      <w:r w:rsidR="0072263C">
        <w:rPr>
          <w:rFonts w:ascii="Times" w:hAnsi="Times" w:cs="Times"/>
          <w:color w:val="000000" w:themeColor="text1"/>
        </w:rPr>
        <w:t>,</w:t>
      </w:r>
      <w:r w:rsidR="005E09AC" w:rsidRPr="00786837">
        <w:rPr>
          <w:rFonts w:ascii="Times" w:hAnsi="Times" w:cs="Times"/>
          <w:color w:val="000000" w:themeColor="text1"/>
        </w:rPr>
        <w:t xml:space="preserve"> 95% CI</w:t>
      </w:r>
      <w:r w:rsidR="00E26CD2">
        <w:rPr>
          <w:rFonts w:ascii="Times" w:hAnsi="Times" w:cs="Times"/>
          <w:color w:val="000000" w:themeColor="text1"/>
        </w:rPr>
        <w:t xml:space="preserve"> </w:t>
      </w:r>
      <w:r w:rsidR="00025EF7">
        <w:rPr>
          <w:rFonts w:ascii="Times" w:hAnsi="Times" w:cs="Times"/>
          <w:color w:val="000000" w:themeColor="text1"/>
        </w:rPr>
        <w:t>1.89, 2.99</w:t>
      </w:r>
      <w:r w:rsidR="005E09AC" w:rsidRPr="00786837">
        <w:rPr>
          <w:rFonts w:ascii="Times" w:hAnsi="Times" w:cs="Times"/>
          <w:color w:val="000000" w:themeColor="text1"/>
        </w:rPr>
        <w:t>, respectively)</w:t>
      </w:r>
      <w:r w:rsidR="00CE75B3">
        <w:rPr>
          <w:rFonts w:ascii="Times" w:hAnsi="Times" w:cs="Times"/>
          <w:color w:val="000000" w:themeColor="text1"/>
        </w:rPr>
        <w:t xml:space="preserve"> (Table 3)</w:t>
      </w:r>
      <w:r w:rsidR="005E09AC" w:rsidRPr="00786837">
        <w:rPr>
          <w:rFonts w:ascii="Times" w:hAnsi="Times" w:cs="Times"/>
          <w:color w:val="000000" w:themeColor="text1"/>
        </w:rPr>
        <w:t xml:space="preserve">. </w:t>
      </w:r>
      <w:r w:rsidR="00786837" w:rsidRPr="00786837">
        <w:rPr>
          <w:rFonts w:ascii="Times" w:hAnsi="Times" w:cs="Times"/>
          <w:color w:val="000000" w:themeColor="text1"/>
        </w:rPr>
        <w:t xml:space="preserve">NH </w:t>
      </w:r>
      <w:r w:rsidR="005E09AC" w:rsidRPr="00786837">
        <w:rPr>
          <w:rFonts w:ascii="Times" w:hAnsi="Times" w:cs="Times"/>
          <w:color w:val="000000" w:themeColor="text1"/>
        </w:rPr>
        <w:t>Asian patients were more likely to receive an epis</w:t>
      </w:r>
      <w:r>
        <w:rPr>
          <w:rFonts w:ascii="Times" w:hAnsi="Times" w:cs="Times"/>
          <w:color w:val="000000" w:themeColor="text1"/>
        </w:rPr>
        <w:t>io</w:t>
      </w:r>
      <w:r w:rsidR="005E09AC" w:rsidRPr="00786837">
        <w:rPr>
          <w:rFonts w:ascii="Times" w:hAnsi="Times" w:cs="Times"/>
          <w:color w:val="000000" w:themeColor="text1"/>
        </w:rPr>
        <w:t>tomy (</w:t>
      </w:r>
      <w:r w:rsidR="00025EF7">
        <w:rPr>
          <w:rFonts w:ascii="Times" w:hAnsi="Times" w:cs="Times"/>
          <w:color w:val="000000" w:themeColor="text1"/>
        </w:rPr>
        <w:t>a</w:t>
      </w:r>
      <w:r w:rsidR="00217A11">
        <w:rPr>
          <w:rFonts w:ascii="Times" w:hAnsi="Times" w:cs="Times"/>
          <w:color w:val="000000" w:themeColor="text1"/>
        </w:rPr>
        <w:t>R</w:t>
      </w:r>
      <w:r w:rsidR="005E09AC" w:rsidRPr="00786837">
        <w:rPr>
          <w:rFonts w:ascii="Times" w:hAnsi="Times" w:cs="Times"/>
          <w:color w:val="000000" w:themeColor="text1"/>
        </w:rPr>
        <w:t xml:space="preserve">R </w:t>
      </w:r>
      <w:r w:rsidR="00786837" w:rsidRPr="00786837">
        <w:rPr>
          <w:color w:val="000000" w:themeColor="text1"/>
        </w:rPr>
        <w:t>1.</w:t>
      </w:r>
      <w:r w:rsidR="00025EF7">
        <w:rPr>
          <w:color w:val="000000" w:themeColor="text1"/>
        </w:rPr>
        <w:t>38</w:t>
      </w:r>
      <w:r w:rsidR="005E09AC" w:rsidRPr="00786837">
        <w:rPr>
          <w:rFonts w:ascii="Times" w:hAnsi="Times" w:cs="Times"/>
          <w:color w:val="000000" w:themeColor="text1"/>
        </w:rPr>
        <w:t>, 95% CI</w:t>
      </w:r>
      <w:r w:rsidR="00E26CD2">
        <w:rPr>
          <w:rFonts w:ascii="Times" w:hAnsi="Times" w:cs="Times"/>
          <w:color w:val="000000" w:themeColor="text1"/>
        </w:rPr>
        <w:t xml:space="preserve"> </w:t>
      </w:r>
      <w:r w:rsidR="00786837" w:rsidRPr="00786837">
        <w:rPr>
          <w:rFonts w:ascii="Times" w:hAnsi="Times" w:cs="Times"/>
          <w:color w:val="000000" w:themeColor="text1"/>
        </w:rPr>
        <w:t>1.</w:t>
      </w:r>
      <w:r w:rsidR="00025EF7">
        <w:rPr>
          <w:rFonts w:ascii="Times" w:hAnsi="Times" w:cs="Times"/>
          <w:color w:val="000000" w:themeColor="text1"/>
        </w:rPr>
        <w:t>18, 1.60</w:t>
      </w:r>
      <w:r w:rsidR="005E09AC" w:rsidRPr="005E09AC">
        <w:rPr>
          <w:color w:val="000000" w:themeColor="text1"/>
        </w:rPr>
        <w:t>)</w:t>
      </w:r>
      <w:r w:rsidR="005747D5">
        <w:rPr>
          <w:color w:val="000000" w:themeColor="text1"/>
        </w:rPr>
        <w:t xml:space="preserve"> or an epidural (</w:t>
      </w:r>
      <w:r w:rsidR="00E26CD2">
        <w:rPr>
          <w:color w:val="000000" w:themeColor="text1"/>
        </w:rPr>
        <w:t>a</w:t>
      </w:r>
      <w:r w:rsidR="005747D5">
        <w:rPr>
          <w:color w:val="000000" w:themeColor="text1"/>
        </w:rPr>
        <w:t>RR 1.17, 95% CI</w:t>
      </w:r>
      <w:r w:rsidR="00E26CD2">
        <w:rPr>
          <w:color w:val="000000" w:themeColor="text1"/>
        </w:rPr>
        <w:t xml:space="preserve"> </w:t>
      </w:r>
      <w:r w:rsidR="005747D5">
        <w:rPr>
          <w:color w:val="000000" w:themeColor="text1"/>
        </w:rPr>
        <w:t>1.02, 1.34)</w:t>
      </w:r>
      <w:r w:rsidR="005E09AC" w:rsidRPr="005E09AC">
        <w:rPr>
          <w:color w:val="000000" w:themeColor="text1"/>
        </w:rPr>
        <w:t>,</w:t>
      </w:r>
      <w:r w:rsidR="005747D5">
        <w:rPr>
          <w:color w:val="000000" w:themeColor="text1"/>
        </w:rPr>
        <w:t xml:space="preserve"> compared with </w:t>
      </w:r>
      <w:r w:rsidR="00025EF7">
        <w:rPr>
          <w:color w:val="000000" w:themeColor="text1"/>
        </w:rPr>
        <w:t xml:space="preserve">NH White patients. </w:t>
      </w:r>
      <w:r w:rsidR="008D0F90">
        <w:rPr>
          <w:color w:val="000000" w:themeColor="text1"/>
        </w:rPr>
        <w:t>All racial/ ethnic groups had a similar risk of MFM specialist care for a high-risk birth as NH White patients.</w:t>
      </w:r>
      <w:r w:rsidR="00025EF7">
        <w:rPr>
          <w:color w:val="000000" w:themeColor="text1"/>
        </w:rPr>
        <w:t xml:space="preserve"> Hispanic/ Latinx patients with preterm birth were less likely to </w:t>
      </w:r>
      <w:r w:rsidR="00E26CD2">
        <w:rPr>
          <w:color w:val="000000" w:themeColor="text1"/>
        </w:rPr>
        <w:t>receive</w:t>
      </w:r>
      <w:r w:rsidR="00025EF7">
        <w:rPr>
          <w:color w:val="000000" w:themeColor="text1"/>
        </w:rPr>
        <w:t xml:space="preserve"> antenatal steroids (RR</w:t>
      </w:r>
      <w:r w:rsidR="00E26CD2">
        <w:rPr>
          <w:color w:val="000000" w:themeColor="text1"/>
        </w:rPr>
        <w:t xml:space="preserve"> </w:t>
      </w:r>
      <w:r w:rsidR="00025EF7">
        <w:rPr>
          <w:color w:val="000000" w:themeColor="text1"/>
        </w:rPr>
        <w:t>0.74, 95% CI</w:t>
      </w:r>
      <w:r w:rsidR="00E26CD2">
        <w:rPr>
          <w:color w:val="000000" w:themeColor="text1"/>
        </w:rPr>
        <w:t xml:space="preserve"> </w:t>
      </w:r>
      <w:r w:rsidR="00025EF7">
        <w:rPr>
          <w:color w:val="000000" w:themeColor="text1"/>
        </w:rPr>
        <w:t>0.63, 0.86)</w:t>
      </w:r>
      <w:r w:rsidR="005747D5">
        <w:rPr>
          <w:color w:val="000000" w:themeColor="text1"/>
        </w:rPr>
        <w:t xml:space="preserve"> compared with NH White patients</w:t>
      </w:r>
      <w:r w:rsidR="00025EF7">
        <w:rPr>
          <w:color w:val="000000" w:themeColor="text1"/>
        </w:rPr>
        <w:t>.</w:t>
      </w:r>
    </w:p>
    <w:p w14:paraId="180D1822" w14:textId="77777777" w:rsidR="00371ECB" w:rsidRPr="00D3546C" w:rsidRDefault="00371ECB" w:rsidP="00371ECB">
      <w:pPr>
        <w:pStyle w:val="NormalWeb"/>
        <w:spacing w:before="0" w:beforeAutospacing="0" w:after="0" w:afterAutospacing="0" w:line="480" w:lineRule="auto"/>
        <w:rPr>
          <w:rFonts w:ascii="Times" w:hAnsi="Times" w:cs="Times"/>
          <w:b/>
          <w:bCs/>
        </w:rPr>
      </w:pPr>
      <w:r w:rsidRPr="00D3546C">
        <w:rPr>
          <w:rFonts w:ascii="Times" w:hAnsi="Times" w:cs="Times"/>
          <w:b/>
          <w:bCs/>
        </w:rPr>
        <w:t>Discussion</w:t>
      </w:r>
    </w:p>
    <w:p w14:paraId="0358A93F" w14:textId="157C377C" w:rsidR="00F60862" w:rsidRDefault="00686CA0" w:rsidP="00F60862">
      <w:pPr>
        <w:pStyle w:val="NormalWeb"/>
        <w:spacing w:before="0" w:beforeAutospacing="0" w:after="0" w:afterAutospacing="0" w:line="480" w:lineRule="auto"/>
        <w:ind w:firstLine="720"/>
        <w:rPr>
          <w:rFonts w:ascii="Times" w:hAnsi="Times" w:cs="Times"/>
        </w:rPr>
      </w:pPr>
      <w:r>
        <w:rPr>
          <w:rFonts w:ascii="Times" w:hAnsi="Times" w:cs="Times"/>
        </w:rPr>
        <w:t>S</w:t>
      </w:r>
      <w:r w:rsidR="00371ECB">
        <w:rPr>
          <w:rFonts w:ascii="Times" w:hAnsi="Times" w:cs="Times"/>
        </w:rPr>
        <w:t xml:space="preserve">tudy </w:t>
      </w:r>
      <w:r>
        <w:rPr>
          <w:rFonts w:ascii="Times" w:hAnsi="Times" w:cs="Times"/>
        </w:rPr>
        <w:t xml:space="preserve">findings suggest </w:t>
      </w:r>
      <w:r w:rsidR="00371ECB">
        <w:rPr>
          <w:rFonts w:ascii="Times" w:hAnsi="Times" w:cs="Times"/>
        </w:rPr>
        <w:t>that racial</w:t>
      </w:r>
      <w:r>
        <w:rPr>
          <w:rFonts w:ascii="Times" w:hAnsi="Times" w:cs="Times"/>
        </w:rPr>
        <w:t>/</w:t>
      </w:r>
      <w:r w:rsidR="00371ECB">
        <w:rPr>
          <w:rFonts w:ascii="Times" w:hAnsi="Times" w:cs="Times"/>
        </w:rPr>
        <w:t xml:space="preserve">ethnic disparities in obstetric outcome and process measures </w:t>
      </w:r>
      <w:r>
        <w:rPr>
          <w:rFonts w:ascii="Times" w:hAnsi="Times" w:cs="Times"/>
        </w:rPr>
        <w:t xml:space="preserve">were </w:t>
      </w:r>
      <w:r w:rsidR="00371ECB">
        <w:rPr>
          <w:rFonts w:ascii="Times" w:hAnsi="Times" w:cs="Times"/>
        </w:rPr>
        <w:t xml:space="preserve">present </w:t>
      </w:r>
      <w:r>
        <w:rPr>
          <w:rFonts w:ascii="Times" w:hAnsi="Times" w:cs="Times"/>
        </w:rPr>
        <w:t xml:space="preserve">among patients </w:t>
      </w:r>
      <w:r w:rsidR="008A20ED">
        <w:rPr>
          <w:rFonts w:ascii="Times" w:hAnsi="Times" w:cs="Times"/>
        </w:rPr>
        <w:t>giving birth</w:t>
      </w:r>
      <w:r w:rsidR="00371ECB">
        <w:rPr>
          <w:rFonts w:ascii="Times" w:hAnsi="Times" w:cs="Times"/>
        </w:rPr>
        <w:t xml:space="preserve"> in the Northwest</w:t>
      </w:r>
      <w:r w:rsidR="008A4AAD">
        <w:rPr>
          <w:rFonts w:ascii="Times" w:hAnsi="Times" w:cs="Times"/>
        </w:rPr>
        <w:t xml:space="preserve"> region of the </w:t>
      </w:r>
      <w:r w:rsidR="0072263C">
        <w:rPr>
          <w:rFonts w:ascii="Times" w:hAnsi="Times" w:cs="Times"/>
        </w:rPr>
        <w:t>United States</w:t>
      </w:r>
      <w:r w:rsidR="00371ECB">
        <w:rPr>
          <w:rFonts w:ascii="Times" w:hAnsi="Times" w:cs="Times"/>
        </w:rPr>
        <w:t xml:space="preserve">. </w:t>
      </w:r>
      <w:r w:rsidR="00F63633">
        <w:rPr>
          <w:rFonts w:ascii="Times" w:hAnsi="Times" w:cs="Times"/>
        </w:rPr>
        <w:t>While our findings were similar to several previous reports</w:t>
      </w:r>
      <w:r w:rsidR="00F63633">
        <w:rPr>
          <w:rFonts w:ascii="Times" w:hAnsi="Times" w:cs="Times"/>
        </w:rPr>
        <w:fldChar w:fldCharType="begin" w:fldLock="1"/>
      </w:r>
      <w:r w:rsidR="00DE08B1">
        <w:rPr>
          <w:rFonts w:ascii="Times" w:hAnsi="Times" w:cs="Times"/>
        </w:rPr>
        <w:instrText>ADDIN CSL_CITATION {"citationItems":[{"id":"ITEM-1","itemData":{"DOI":"10.1097/AOG.0000000000001090","ISSN":"0029-7844","abstract":"Objective: To examine 30-day readmission rates after vaginal and cesarean delivery by race-ethnicity and insurance status. Methods: We analyzed hospital discharge data contained in a statewide database maintained by the Connecticut Department of Public Health. Discharge data for patients admitted for vaginal delivery without complication (n=167,857) and cesarean delivery without complication (n=75,552) from 2005 to 2012 were analyzed using marginal logistic models for clustered data with generalized estimating equations. Results: Results from logistic models indicated that 30-day readmission rates per 1,000 patients were significantly higher among black (28.9/1,000; confidence interval [CI] 25.5-32.7) and Hispanic women (21.4/1,000; CI 18.9-24.2) than among white women (12.9/1,000; CI 11.9-14.0) after cesarean delivery. Similarly higher rates of readmission were observed for black (14.6/1,000; CI 13.0-16.5) and Hispanic women (10.7/1,000; CI 9.6-12.0) relative to white women (7.5/1,000; CI 7.0-8.1) after vaginal delivery. Rates of 30-day readmission were significantly higher (odds ratio 1.27-1.30) among those covered by Medicaid. Controlling for patient socioeconomic status, comorbidities, and payer did not substantially reduce race and ethic differences in the odds of readmission. CONCLUSION: Significant racial and ethnic disparities in readmissions were observed for procedures related to childbirth using a statewide database capturing all payers across all acute care hospital settings. Compared with white women, black women were twice as likely and Hispanic women 40-50% more likely to be readmitted within 30 days of vaginal or cesarean delivery.","author":[{"dropping-particle":"","family":"Aseltine","given":"Robert H.","non-dropping-particle":"","parse-names":false,"suffix":""},{"dropping-particle":"","family":"Yan","given":"Jun","non-dropping-particle":"","parse-names":false,"suffix":""},{"dropping-particle":"","family":"Fleischman","given":"Steven","non-dropping-particle":"","parse-names":false,"suffix":""},{"dropping-particle":"","family":"Katz","given":"Matthew","non-dropping-particle":"","parse-names":false,"suffix":""},{"dropping-particle":"","family":"DeFrancesco","given":"Mark","non-dropping-particle":"","parse-names":false,"suffix":""}],"container-title":"Obstetrics &amp; Gynecology","id":"ITEM-1","issue":"5","issued":{"date-parts":[["2015","11","20"]]},"page":"1040-1047","publisher":"Lippincott Williams and Wilkins","title":"Racial and Ethnic Disparities in Hospital Readmissions After Delivery","type":"article-journal","volume":"126"},"uris":["http://www.mendeley.com/documents/?uuid=eb90dde9-d692-3fe1-a2c6-60e78ff90e6c"]},{"id":"ITEM-2","itemData":{"DOI":"10.1089/jwh.2017.6807","ISSN":"1540-9996","abstract":"Objective: To identify the contributions of individual-, household-, and area-level characteristics to disparities in the use of prenatal care (PNC). Methods: This study used individual-level data from the 2001 Early Childhood Longitudinal Study-Birth Cohort linked to county-level U.S. Census data (N ≈ 5,200). I used nonlinear regression decomposition to quantify the contributions of several groups of factors - maternal health and pregnancy characteristics, preconception health behaviors, insurance coverage, PNC location, socioeconomic status (SES), and the social/economic and healthcare environments - to PNC disparities. Results: Relative to whites, blacks and Hispanics were less likely to initiate first-trimester PNC and to have adequate PNC. The models explained 61.20%-79.90% and 52.15%-79.09% of the disparities in PNC initiation and adequacy, respectively. The most important factor was SES, which explained 50.68%-79.92% of the black-white gap and 37.50%-49.51% of the Hispanic-white gap in PNC use. Location of care, insurance status, and pregnancy characteristics also made significant contributions to these disparities. Conclusion: SES is a key driver of inequality in PNC, particularly black-white inequality. Addressing socioeconomic factors may improve PNC use among minorities.","author":[{"dropping-particle":"","family":"Green","given":"Tiffany L.","non-dropping-particle":"","parse-names":false,"suffix":""}],"container-title":"Journal of Women's Health","id":"ITEM-2","issue":"9","issued":{"date-parts":[["2018","9","1"]]},"page":"1124-1134","publisher":"Mary Ann Liebert Inc.","title":"Unpacking Racial/Ethnic Disparities in Prenatal Care Use: The Role of Individual-, Household-, and Area-Level Characteristics","type":"article-journal","volume":"27"},"uris":["http://www.mendeley.com/documents/?uuid=8e29fcf6-961c-3ff2-ba0b-e4da9ab3d1e3"]},{"id":"ITEM-3","itemData":{"DOI":"10.1111/birt.12108","ISSN":"1523536X","PMID":"24750358","abstract":"BACKGROUND: Our objective was to examine the likelihood of primary cesarean delivery for women at low risk for the procedure in Massachusetts.\nMETHODS: Birth certificate data for all births from 1996 to 2010 that were nulliparous, term, singleton, and vertex (NTSV; N = 427,393) were used to conduct logistic regression models to assess the likelihood of a cesarean delivery for each of the 31 ethnic groups relative to self-identified \"American\" mothers. The results were compared with broad classifications of race/ethnicity more commonly employed in research.\nRESULTS: While 23.3 percent of American women had primary cesarean deliveries, cesarean delivery rates varied from 12.9 percent for Cambodian to 32.4 percent for Nigerian women. Women from 21 of 30 ethnic groups had higher odds of a primary cesarean (range of adjusted odds ratios [AORs] 1.09-1.77), while only Chinese, Cambodian, and Japanese women had lower odds (range of AORs 0.66-0.92), compared with self-identified \"Americans.\" Using broad race/ethnicity categories, Non-Hispanic black, Hispanic, and \"Other\" women had higher odds of cesarean delivery relative to Non-Hispanic white women (range of AORs 1.12-1.47), while there were no differences for Asian or Pacific Islander women.\nCONCLUSIONS: Detailed maternal ethnicity explains the variation in NTSV cesarean delivery rates better than broad race/ethnicity categories. Different patterns of cesarean delivery between ethnic groups suggest cultural specificity related to birth culture.","author":[{"dropping-particle":"","family":"Edmonds","given":"Joyce K.","non-dropping-particle":"","parse-names":false,"suffix":""},{"dropping-particle":"","family":"Hawkins","given":"Summer S.","non-dropping-particle":"","parse-names":false,"suffix":""},{"dropping-particle":"","family":"Cohen","given":"Bruce B.","non-dropping-particle":"","parse-names":false,"suffix":""}],"container-title":"Birth (Berkeley, Calif.)","id":"ITEM-3","issue":"3","issued":{"date-parts":[["2014","9","1"]]},"page":"290-298","publisher":"Birth","title":"The influence of detailed maternal ethnicity on cesarean delivery: findings from the U.S. birth certificate in the State of Massachusetts","type":"article-journal","volume":"41"},"uris":["http://www.mendeley.com/documents/?uuid=c05c288d-ff6d-33c5-afdb-40d1e3231712"]},{"id":"ITEM-4","itemData":{"DOI":"10.1016/j.ajog.2020.07.015","ISSN":"10976868","PMID":"32679210","author":[{"dropping-particle":"","family":"Gulersen","given":"Moti","non-dropping-particle":"","parse-names":false,"suffix":""},{"dropping-particle":"","family":"Grunebaum","given":"Amos","non-dropping-particle":"","parse-names":false,"suffix":""},{"dropping-particle":"","family":"Lenchner","given":"Erez","non-dropping-particle":"","parse-names":false,"suffix":""},{"dropping-particle":"","family":"Chervenak","given":"Frank A.","non-dropping-particle":"","parse-names":false,"suffix":""},{"dropping-particle":"","family":"Bornstein","given":"Eran","non-dropping-particle":"","parse-names":false,"suffix":""}],"container-title":"American Journal of Obstetrics and Gynecology","id":"ITEM-4","issue":"6","issued":{"date-parts":[["2020"]]},"publisher":"Mosby Inc.","title":"Racial disparities in the administration of antenatal corticosteroids in women with preterm birth","type":"article","volume":"223"},"uris":["http://www.mendeley.com/documents/?uuid=4a92f1ac-b357-3a2e-917b-9b92a8bd6a7b"]},{"id":"ITEM-5","itemData":{"DOI":"10.1097/AOG.0000000000001864","ISSN":"1873233X","PMID":"28079772","abstract":"OBJECTIVE: To investigate differences in severe maternal morbidity between Hispanic mothers and three major Hispanic subgroups compared with non-Hispanic white mothers and the extent to which differences in delivery hospitals may contribute to excess morbidity among Hispanic mothers. METHODS: We conducted a population-based crosssectional study using linked 2011-2013 New York City discharge and birth certificate data sets (n=353,773). Rates of severe maternal morbidity were calculated using a published algorithm based on diagnosis and procedure codes. Mixed-effects logistic regression with a random hospital-specific intercept was used to generate riskstandardized severe maternal morbidity rates for each hospital taking into consideration patient sociodemographic characteristics and comorbidities. Differences in the distribution of Hispanic and non-Hispanic white deliveries were assessed among these hospitals in relation to their risk-adjusted morbidity. Sensitivity analyses were conducted after excluding isolated blood transfusion from the morbidity composite. RESULTS: Severe maternal morbidity occurred in 4,541 deliveries and was higher among Hispanic than non- Hispanic white women (2.7% compared with 1.5%, P&lt;.001); this rate was 2.9% among those who were Puerto Rican, 2.7% among those who were foreignborn Dominican, and 3.3% among those who were foreign-born Mexican. After adjustment for patient characteristics, the risk remained elevated for Hispanic women (odds ratio [OR] 1.42, 95% confidence interval [CI] 1.22-1.66) and for all three subgroups compared with non-Hispanic white women (P&lt;.001). Risk for Hispanic women was attenuated in sensitivity analyses (OR 1.17, 95% CI 1.02-1.33). Risk-standardized morbidity across hospitals varied sixfold. We estimate that Hispanic-non- Hispanic white differences in delivery location may contribute up to 37% of the ethnic disparity in severe maternal morbidity rates in New York City hospitals. CONCLUSION: Hispanic compared with non-Hispanic white mothers are more likely to deliver at hospitals with higher risk-adjusted severe maternal morbidity rates and these differences in site of delivery may contribute to excess morbidity among Hispanic mothers. Our results suggest improving quality at the lowest performing hospitals could benefit both non-Hispanic white and Hispanic women and reduce ethnic disparities in severe maternal morbidity rates.","author":[{"dropping-particle":"","family":"Howell","given":"Elizabeth A.","non-dropping-particle":"","parse-names":false,"suffix":""},{"dropping-particle":"","family":"Egorova","given":"Natalia N.","non-dropping-particle":"","parse-names":false,"suffix":""},{"dropping-particle":"","family":"Janevic","given":"Teresa","non-dropping-particle":"","parse-names":false,"suffix":""},{"dropping-particle":"","family":"Balbierz","given":"Amy","non-dropping-particle":"","parse-names":false,"suffix":""},{"dropping-particle":"","family":"Zeitlin","given":"Jennifer","non-dropping-particle":"","parse-names":false,"suffix":""},{"dropping-particle":"","family":"Hebert","given":"Paul L.","non-dropping-particle":"","parse-names":false,"suffix":""}],"container-title":"Obstetrics and Gynecology","id":"ITEM-5","issue":"2","issued":{"date-parts":[["2017"]]},"page":"285-294","publisher":"Lippincott Williams and Wilkins","title":"Severe maternal morbidity among Hispanic women in New York City: Investigation of health disparities","type":"paper-conference","volume":"129"},"uris":["http://www.mendeley.com/documents/?uuid=eb889020-472f-3293-8caa-056c440f8c5d"]},{"id":"ITEM-6","itemData":{"DOI":"10.1016/j.ajog.2004.12.007","ISSN":"00029378","PMID":"16098870","abstract":"Objective: To determine if variation exists between ethnicities for risk of perineal, vaginal, and cervical laceration at vaginal delivery. Study design: Retrospective cohort study of nulliparous women who underwent vaginal delivery of a vertex presentation. Predictor variable was ethnicity with outcome variables cervical, vaginal, and second-, third-, or fourth-degree perineal laceration. Logistic regression analysis was conducted to control for confounders. Results: Of the 17,216 who met criteria, Filipino (OR = 1.92, 95% CI 1.64-2.25) and Chinese (OR = 1.60, 95% CI 1.33-1.92) women were at greatest risk for third- and fourth-degree laceration. Only Filipino (OR = 1.32, 95% CI 1.10-1.57) and other Asian (OR = 1.23, 95% CI 1.08-1.41) women were at slightly increased risk of vaginal laceration. No differences were seen for cervical laceration. Conclusion: Different ethnicities are at widely varying risk of perineal laceration, but little difference exists for vaginal or cervical lacerations. Research into the mechanisms behind this should investigate differences in perineal anatomy. © 2005 Elsevier Inc. All rights reserved.","author":[{"dropping-particle":"","family":"Hopkins","given":"Linda M.","non-dropping-particle":"","parse-names":false,"suffix":""},{"dropping-particle":"","family":"Caughey","given":"Aaron B.","non-dropping-particle":"","parse-names":false,"suffix":""},{"dropping-particle":"V.","family":"Glidden","given":"David","non-dropping-particle":"","parse-names":false,"suffix":""},{"dropping-particle":"","family":"Laros","given":"Russell K.","non-dropping-particle":"","parse-names":false,"suffix":""}],"container-title":"American Journal of Obstetrics and Gynecology","id":"ITEM-6","issue":"2","issued":{"date-parts":[["2005","8"]]},"page":"455-459","publisher":"Am J Obstet Gynecol","title":"Racial/ethnic differences in perineal, vaginal and cervical lacerations","type":"article-journal","volume":"193"},"uris":["http://www.mendeley.com/documents/?uuid=022b9a34-8d75-3758-8b04-d4cf1545cebf"]}],"mendeley":{"formattedCitation":"&lt;sup&gt;5,12–16&lt;/sup&gt;","plainTextFormattedCitation":"5,12–16","previouslyFormattedCitation":"&lt;sup&gt;5,12–16&lt;/sup&gt;"},"properties":{"noteIndex":0},"schema":"https://github.com/citation-style-language/schema/raw/master/csl-citation.json"}</w:instrText>
      </w:r>
      <w:r w:rsidR="00F63633">
        <w:rPr>
          <w:rFonts w:ascii="Times" w:hAnsi="Times" w:cs="Times"/>
        </w:rPr>
        <w:fldChar w:fldCharType="separate"/>
      </w:r>
      <w:r w:rsidR="00DE08B1" w:rsidRPr="00DE08B1">
        <w:rPr>
          <w:rFonts w:ascii="Times" w:hAnsi="Times" w:cs="Times"/>
          <w:noProof/>
          <w:vertAlign w:val="superscript"/>
        </w:rPr>
        <w:t>5,12–16</w:t>
      </w:r>
      <w:r w:rsidR="00F63633">
        <w:rPr>
          <w:rFonts w:ascii="Times" w:hAnsi="Times" w:cs="Times"/>
        </w:rPr>
        <w:fldChar w:fldCharType="end"/>
      </w:r>
      <w:r w:rsidR="00097CFF">
        <w:rPr>
          <w:rFonts w:ascii="Times" w:hAnsi="Times" w:cs="Times"/>
        </w:rPr>
        <w:t xml:space="preserve">, they </w:t>
      </w:r>
      <w:r w:rsidR="00F63633">
        <w:rPr>
          <w:rFonts w:ascii="Times" w:hAnsi="Times" w:cs="Times"/>
        </w:rPr>
        <w:t>differed from others</w:t>
      </w:r>
      <w:r w:rsidR="00F63633">
        <w:rPr>
          <w:rFonts w:ascii="Times" w:hAnsi="Times" w:cs="Times"/>
        </w:rPr>
        <w:fldChar w:fldCharType="begin" w:fldLock="1"/>
      </w:r>
      <w:r w:rsidR="00DE08B1">
        <w:rPr>
          <w:rFonts w:ascii="Times" w:hAnsi="Times" w:cs="Times"/>
        </w:rPr>
        <w:instrText>ADDIN CSL_CITATION {"citationItems":[{"id":"ITEM-1","itemData":{"DOI":"10.1111/birt.12108","ISSN":"1523536X","PMID":"24750358","abstract":"BACKGROUND: Our objective was to examine the likelihood of primary cesarean delivery for women at low risk for the procedure in Massachusetts.\nMETHODS: Birth certificate data for all births from 1996 to 2010 that were nulliparous, term, singleton, and vertex (NTSV; N = 427,393) were used to conduct logistic regression models to assess the likelihood of a cesarean delivery for each of the 31 ethnic groups relative to self-identified \"American\" mothers. The results were compared with broad classifications of race/ethnicity more commonly employed in research.\nRESULTS: While 23.3 percent of American women had primary cesarean deliveries, cesarean delivery rates varied from 12.9 percent for Cambodian to 32.4 percent for Nigerian women. Women from 21 of 30 ethnic groups had higher odds of a primary cesarean (range of adjusted odds ratios [AORs] 1.09-1.77), while only Chinese, Cambodian, and Japanese women had lower odds (range of AORs 0.66-0.92), compared with self-identified \"Americans.\" Using broad race/ethnicity categories, Non-Hispanic black, Hispanic, and \"Other\" women had higher odds of cesarean delivery relative to Non-Hispanic white women (range of AORs 1.12-1.47), while there were no differences for Asian or Pacific Islander women.\nCONCLUSIONS: Detailed maternal ethnicity explains the variation in NTSV cesarean delivery rates better than broad race/ethnicity categories. Different patterns of cesarean delivery between ethnic groups suggest cultural specificity related to birth culture.","author":[{"dropping-particle":"","family":"Edmonds","given":"Joyce K.","non-dropping-particle":"","parse-names":false,"suffix":""},{"dropping-particle":"","family":"Hawkins","given":"Summer S.","non-dropping-particle":"","parse-names":false,"suffix":""},{"dropping-particle":"","family":"Cohen","given":"Bruce B.","non-dropping-particle":"","parse-names":false,"suffix":""}],"container-title":"Birth (Berkeley, Calif.)","id":"ITEM-1","issue":"3","issued":{"date-parts":[["2014","9","1"]]},"page":"290-298","publisher":"Birth","title":"The influence of detailed maternal ethnicity on cesarean delivery: findings from the U.S. birth certificate in the State of Massachusetts","type":"article-journal","volume":"41"},"uris":["http://www.mendeley.com/documents/?uuid=c05c288d-ff6d-33c5-afdb-40d1e3231712"]},{"id":"ITEM-2","itemData":{"DOI":"10.1097/AOG.0000000000002937","ISSN":"1873233X","PMID":"30303912","abstract":"OBJECTIVE: To describe racial and ethnic disparities in the incidence of severe maternal morbidity during delivery hospitalizations in the United States. METHODS: We conducted a pooled, cross-sectional analysis of 2012-2015 data from the National Inpatient Sample to define the prevalence of chronic conditions and incidence of severe maternal morbidity among deliveries to non-Hispanic white, non-Hispanic black, Hispanic, Asian or Pacific Islander, and Native American or Alaska Native women. We used weighted multivariable logistic regression and predictive margins to generate prevalence and incidence estimates. Adjusted rate ratios and differences were calculated to quantify disparities across racial and ethnic categories. Subgroup analyses were performed to examine the incidence of severe maternal morbidity among deliveries to women with comorbid physical health conditions, behavioral health conditions, and multiple chronic conditions within each racial and ethnic category. RESULTS: The incidence of severe maternal morbidity was significantly higher among deliveries to women in every racial and ethnic minority category compared with deliveries among non-Hispanic white women. Severe maternal morbidity occurred in 231.1 (95% CI 223.6-238.5) and 139.2 (95% CI 136.4-142.0) per 10,000 delivery hospitalizations among non-Hispanic black and non-Hispanic white women, respectively (P,.001). When excluding cases in which blood transfusion was the only indicator of severe maternal morbidity, only deliveries to non-Hispanic black women had a higher incidence of severe maternal morbidity compared with deliveries among non-Hispanic white women: 50.2 (95% CI 47.6-52.9) and 40.9 (95% CI 39.6-42.3) per 10,000 delivery hospitalizations, respectively (risk ratio 1.2 [95% CI 1.2-1.3], risk difference 9.3 [95% CI 6.5-12.2] per 10,000 delivery hospitalizations; P,.001 for each comparison). Among deliveries to women with comorbid physical and behavioral health conditions, significant differences in severe maternal morbidity were identified among racial and ethnic minority compared with non-Hispanic white women and the largest disparities were identified among women with multiple chronic conditions. CONCLUSION: Programs for reducing racial and ethnic disparities in severe maternal morbidity may have the greatest effect focusing on women at highest risk for blood transfusion and maternity care management for women with comorbid chronic conditions, particularly multiple chronic c…","author":[{"dropping-particle":"","family":"Admon","given":"Lindsay K.","non-dropping-particle":"","parse-names":false,"suffix":""},{"dropping-particle":"","family":"Winkelman","given":"Tyler N.A.","non-dropping-particle":"","parse-names":false,"suffix":""},{"dropping-particle":"","family":"Zivin","given":"Kara","non-dropping-particle":"","parse-names":false,"suffix":""},{"dropping-particle":"","family":"Terplan","given":"Mishka","non-dropping-particle":"","parse-names":false,"suffix":""},{"dropping-particle":"","family":"Mhyre","given":"Jill M.","non-dropping-particle":"","parse-names":false,"suffix":""},{"dropping-particle":"","family":"Dalton","given":"Vanessa K.","non-dropping-particle":"","parse-names":false,"suffix":""}],"container-title":"Obstetrics and Gynecology","id":"ITEM-2","issue":"5","issued":{"date-parts":[["2018"]]},"page":"1158-1166","publisher":"Lippincott Williams and Wilkins","title":"Racial and ethnic disparities in the incidence of severe maternal morbidity in the United States, 2012-2015","type":"article-journal","volume":"132"},"uris":["http://www.mendeley.com/documents/?uuid=caf1965f-b393-3000-b9c6-c61c39d6f22f"]},{"id":"ITEM-3","itemData":{"DOI":"10.1097/00000542-200701000-00008","ISSN":"00033022","PMID":"17197841","abstract":"BACKGROUND: There is strong evidence that pain is undertreated in black and Hispanic patients. The association between race and ethnicity and the use of epidural analgesia for labor is not well described. METHODS: Using the New York State Perinatal Database, the authors examined whether race and ethnicity were associated with the likelihood of receiving epidural analgesia for labor after adjusting for clinical characteristics, demographics, insurance coverage, and provider effect. This retrospective cohort study was based on 81,883 women admitted for childbirth between 1998 and 2003. RESULTS: Overall, 38.3% of the patients received epidural analgesia for labor. After adjusting for clinical risk factors, socioeconomic status, and provider fixed effects, Hispanic and black patients were less likely than non-Hispanic white patients to receive epidural analgesia: The adjusted odds ratio was 0.85 (95% CI, 0.78-0.93) for white/Hispanic and 0.78 (0.74-0.83) for blacks compared with non-Hispanic whites. Compared with patients with private insurance, patients without insurance were least likely to receive epidural analgesia (adjusted odds ratio, 0.76; 95% CI, 0.64-0.89). Black patients with private insurance had similar rates of epidural use to white/non-Hispanic patients without insurance coverage: The adjusted odds ratio was 0.66 (95% CI, 0.53-0.82) for white/non-Hispanic patients without insurance versus 0.69 (0.57-0.85) for black patients with private insurance. CONCLUSION: Black and Hispanic women in labor are less likely than non-Hispanic white women to receive epidural analgesia. These differences remain after accounting for differences in insurance coverage, provider practice, and clinical characteristics. © 2007 American Society of Anesthesiologists, Inc.","author":[{"dropping-particle":"","family":"Glance","given":"Laurent G.","non-dropping-particle":"","parse-names":false,"suffix":""},{"dropping-particle":"","family":"Wissler","given":"Richard","non-dropping-particle":"","parse-names":false,"suffix":""},{"dropping-particle":"","family":"Glantz","given":"Christopher","non-dropping-particle":"","parse-names":false,"suffix":""},{"dropping-particle":"","family":"Osler","given":"Turner M.","non-dropping-particle":"","parse-names":false,"suffix":""},{"dropping-particle":"","family":"Mukamel","given":"Dana B.","non-dropping-particle":"","parse-names":false,"suffix":""},{"dropping-particle":"","family":"Dick","given":"Andrew W.","non-dropping-particle":"","parse-names":false,"suffix":""}],"container-title":"Anesthesiology","id":"ITEM-3","issue":"1","issued":{"date-parts":[["2007","1","1"]]},"page":"19-25","publisher":"American Society of Anesthesiologists","title":"Racial differences in the use of epidural analgesia for labor","type":"article-journal","volume":"106"},"uris":["http://www.mendeley.com/documents/?uuid=de5ce5d1-e173-3d07-aad8-e9d8b315732f"]}],"mendeley":{"formattedCitation":"&lt;sup&gt;14,17,18&lt;/sup&gt;","plainTextFormattedCitation":"14,17,18","previouslyFormattedCitation":"&lt;sup&gt;14,17,18&lt;/sup&gt;"},"properties":{"noteIndex":0},"schema":"https://github.com/citation-style-language/schema/raw/master/csl-citation.json"}</w:instrText>
      </w:r>
      <w:r w:rsidR="00F63633">
        <w:rPr>
          <w:rFonts w:ascii="Times" w:hAnsi="Times" w:cs="Times"/>
        </w:rPr>
        <w:fldChar w:fldCharType="separate"/>
      </w:r>
      <w:r w:rsidR="00DE08B1" w:rsidRPr="00DE08B1">
        <w:rPr>
          <w:rFonts w:ascii="Times" w:hAnsi="Times" w:cs="Times"/>
          <w:noProof/>
          <w:vertAlign w:val="superscript"/>
        </w:rPr>
        <w:t>14,17,18</w:t>
      </w:r>
      <w:r w:rsidR="00F63633">
        <w:rPr>
          <w:rFonts w:ascii="Times" w:hAnsi="Times" w:cs="Times"/>
        </w:rPr>
        <w:fldChar w:fldCharType="end"/>
      </w:r>
      <w:r w:rsidR="00F63633">
        <w:rPr>
          <w:rFonts w:ascii="Times" w:hAnsi="Times" w:cs="Times"/>
        </w:rPr>
        <w:t>.</w:t>
      </w:r>
      <w:r w:rsidR="00097CFF">
        <w:rPr>
          <w:rFonts w:ascii="Times" w:hAnsi="Times" w:cs="Times"/>
        </w:rPr>
        <w:t xml:space="preserve"> </w:t>
      </w:r>
      <w:r w:rsidR="001407ED">
        <w:rPr>
          <w:rFonts w:ascii="Times" w:hAnsi="Times" w:cs="Times"/>
        </w:rPr>
        <w:t>Similar to previous national and regional reports, o</w:t>
      </w:r>
      <w:r w:rsidR="00F60862">
        <w:rPr>
          <w:rFonts w:ascii="Times" w:hAnsi="Times" w:cs="Times"/>
        </w:rPr>
        <w:t>ur findings suggest that non-White racial/ethnic groups, except for NH Asian, Hispanic/Latinx, and Multiple Race patients, were substantially more likely to have had absent or minimal prenatal care compared with NH White patients</w:t>
      </w:r>
      <w:r w:rsidR="00F60862">
        <w:rPr>
          <w:rFonts w:ascii="Times" w:hAnsi="Times" w:cs="Times"/>
        </w:rPr>
        <w:fldChar w:fldCharType="begin" w:fldLock="1"/>
      </w:r>
      <w:r w:rsidR="00DE08B1">
        <w:rPr>
          <w:rFonts w:ascii="Times" w:hAnsi="Times" w:cs="Times"/>
        </w:rPr>
        <w:instrText>ADDIN CSL_CITATION {"citationItems":[{"id":"ITEM-1","itemData":{"DOI":"10.1089/jwh.2017.6807","ISSN":"1540-9996","abstract":"Objective: To identify the contributions of individual-, household-, and area-level characteristics to disparities in the use of prenatal care (PNC). Methods: This study used individual-level data from the 2001 Early Childhood Longitudinal Study-Birth Cohort linked to county-level U.S. Census data (N ≈ 5,200). I used nonlinear regression decomposition to quantify the contributions of several groups of factors - maternal health and pregnancy characteristics, preconception health behaviors, insurance coverage, PNC location, socioeconomic status (SES), and the social/economic and healthcare environments - to PNC disparities. Results: Relative to whites, blacks and Hispanics were less likely to initiate first-trimester PNC and to have adequate PNC. The models explained 61.20%-79.90% and 52.15%-79.09% of the disparities in PNC initiation and adequacy, respectively. The most important factor was SES, which explained 50.68%-79.92% of the black-white gap and 37.50%-49.51% of the Hispanic-white gap in PNC use. Location of care, insurance status, and pregnancy characteristics also made significant contributions to these disparities. Conclusion: SES is a key driver of inequality in PNC, particularly black-white inequality. Addressing socioeconomic factors may improve PNC use among minorities.","author":[{"dropping-particle":"","family":"Green","given":"Tiffany L.","non-dropping-particle":"","parse-names":false,"suffix":""}],"container-title":"Journal of Women's Health","id":"ITEM-1","issue":"9","issued":{"date-parts":[["2018","9","1"]]},"page":"1124-1134","publisher":"Mary Ann Liebert Inc.","title":"Unpacking Racial/Ethnic Disparities in Prenatal Care Use: The Role of Individual-, Household-, and Area-Level Characteristics","type":"article-journal","volume":"27"},"uris":["http://www.mendeley.com/documents/?uuid=8e29fcf6-961c-3ff2-ba0b-e4da9ab3d1e3"]},{"id":"ITEM-2","itemData":{"DOI":"10.1023/B:MACI.0000037645.63379.62","ISSN":"10927875","PMID":"15499869","abstract":"OBJECTIVE: To assess the extent to which racial and ethnic disparities exist in the use of prenatal services among Medicaid pregnant women. METHODS: Medicaid claims data for Florida, Georgia, New Jersey, and Texas, with linked birth certificate data for Georgia and Texas, were used to investigate the use of selected prenatal services, including the initiation and adequacy of prenatal care visits; prescriptions for multiple vitamins and iron supplements; and claims for complete blood cell counts, blood type and RH status, hepatitis B surface antigen, ultrasound, maternal serum alphafetoprotein, drug screening, and HIV tests. We computed raw and adjusted odds ratios of having the health service of interest during pregnancy for women in three minority groups: black non-Hispanics, Hispanics, and Asian/Pacific Islanders. RESULTS: We found racial and ethnic disparities in the use of every health service investigated. Compared with white non-Hispanics, minority women were less likely to receive services that the woman initiates, discretionary services, and services potentially requiring specialized follow-up care, whereas they were more likely to receive screening tests for diseases related to high-risk behaviors. Disparities were generally larger, more consistent across states, and less likely to be explained by other factors among black non-Hispanics than among either Hispanics or Asian/Pacific Islanders. CONCLUSIONS: Even among women who are provided equal financial access to health care services, unexplained racial and ethnic disparities persist in the initiation and use of both routine and specialized prenatal care services.","author":[{"dropping-particle":"","family":"Gavin","given":"Norma I.","non-dropping-particle":"","parse-names":false,"suffix":""},{"dropping-particle":"","family":"Adams","given":"E. Kathleen","non-dropping-particle":"","parse-names":false,"suffix":""},{"dropping-particle":"","family":"Hartmann","given":"Katherine E.","non-dropping-particle":"","parse-names":false,"suffix":""},{"dropping-particle":"","family":"Benedict","given":"M. Beth","non-dropping-particle":"","parse-names":false,"suffix":""},{"dropping-particle":"","family":"Chireau","given":"Monique","non-dropping-particle":"","parse-names":false,"suffix":""}],"container-title":"Maternal and child health journal","id":"ITEM-2","issue":"3","issued":{"date-parts":[["2004"]]},"page":"113-126","publisher":"Matern Child Health J","title":"Racial and ethnic disparities in the use of pregnancy-related health care among Medicaid pregnant women.","type":"article-journal","volume":"8"},"uris":["http://www.mendeley.com/documents/?uuid=e91353d6-bc52-37bf-b6e1-89c1b8915be0"]},{"id":"ITEM-3","itemData":{"DOI":"10.1007/s10995-009-0542-6","ISSN":"10927875","PMID":"19943096","abstract":"The objective of the study is to identify racial disparities in prenatal care (PNC) utilization and to examine the relationship between PNC and preterm birth (PTB), low birth weight (LBW) and infant mortality in Mississippi. Retrospective cohort from 1996 to 2003 linked Mississippi birth and infant death files was used. Analysis was limited to live-born singleton infants born to non- Hispanic white and black women (n = 292,776). PNC was classified by Kotelchuck's Adequacy of Prenatal Care Utilization Index. Factors associated with PTB, LBW and infant death were identified using multiple logistic regression after controlling for maternal age, education, marital status, place of residence, tobacco use and medical risk. About one in five Mississippi women had less than adequate PNC, and racial disparities in PNC utilization were observed. Black women delayed PNC, received too few visits, and were more likely to have either \"inadequate PNC\" (P\\0.0001) or \"no care\" (P&lt;0.0001) compared to white women. Furthermore, among women with medical conditions, black women were twice as likely to receive inadequate PNC compared to white women. Regardless of race, \"no care\" and \"inadequate PNC\" were strong risk factors for PTB, LBW and infant death. We provide empirical evidence to support the existence of racial disparities in PNC utilization and infant birth outcomes in Mississippi. Further study is needed to explain racial differences in PNC utilization. However, this study suggests that public health interventions designed to improve PNC utilization among women might reduce unfavorable birth outcomes especially infant mortality. © Springer Science+Business Media, LLC 2009.","author":[{"dropping-particle":"","family":"Cox","given":"Reagan G.","non-dropping-particle":"","parse-names":false,"suffix":""},{"dropping-particle":"","family":"Zhang","given":"Lei","non-dropping-particle":"","parse-names":false,"suffix":""},{"dropping-particle":"","family":"Zotti","given":"Marianne E.","non-dropping-particle":"","parse-names":false,"suffix":""},{"dropping-particle":"","family":"Graham","given":"Juanita","non-dropping-particle":"","parse-names":false,"suffix":""}],"container-title":"Maternal and Child Health Journal","id":"ITEM-3","issue":"7","issued":{"date-parts":[["2011","10"]]},"page":"931-942","publisher":"Matern Child Health J","title":"Prenatal care utilization in mississippi: Racial disparities and implications for unfavorable birth outcomes","type":"article-journal","volume":"15"},"uris":["http://www.mendeley.com/documents/?uuid=09b91e07-1827-37f3-aab5-d90efaff71e6"]}],"mendeley":{"formattedCitation":"&lt;sup&gt;13,19,20&lt;/sup&gt;","plainTextFormattedCitation":"13,19,20","previouslyFormattedCitation":"&lt;sup&gt;13,19,20&lt;/sup&gt;"},"properties":{"noteIndex":0},"schema":"https://github.com/citation-style-language/schema/raw/master/csl-citation.json"}</w:instrText>
      </w:r>
      <w:r w:rsidR="00F60862">
        <w:rPr>
          <w:rFonts w:ascii="Times" w:hAnsi="Times" w:cs="Times"/>
        </w:rPr>
        <w:fldChar w:fldCharType="separate"/>
      </w:r>
      <w:r w:rsidR="00DE08B1" w:rsidRPr="00DE08B1">
        <w:rPr>
          <w:rFonts w:ascii="Times" w:hAnsi="Times" w:cs="Times"/>
          <w:noProof/>
          <w:vertAlign w:val="superscript"/>
        </w:rPr>
        <w:t>13,19,20</w:t>
      </w:r>
      <w:r w:rsidR="00F60862">
        <w:rPr>
          <w:rFonts w:ascii="Times" w:hAnsi="Times" w:cs="Times"/>
        </w:rPr>
        <w:fldChar w:fldCharType="end"/>
      </w:r>
      <w:r w:rsidR="00F60862">
        <w:rPr>
          <w:rFonts w:ascii="Times" w:hAnsi="Times" w:cs="Times"/>
        </w:rPr>
        <w:t>. Literature suggests that increasing timely utilization of prenatal care is a multi-faceted issue, but delaying prenatal care is likely related to logistical factors (access to transportation, insurance status, etc.) and perceptions of racial discrimination in prenatal and medical care</w:t>
      </w:r>
      <w:r w:rsidR="00F60862">
        <w:rPr>
          <w:rFonts w:ascii="Times" w:hAnsi="Times" w:cs="Times"/>
        </w:rPr>
        <w:fldChar w:fldCharType="begin" w:fldLock="1"/>
      </w:r>
      <w:r w:rsidR="00DE08B1">
        <w:rPr>
          <w:rFonts w:ascii="Times" w:hAnsi="Times" w:cs="Times"/>
        </w:rPr>
        <w:instrText>ADDIN CSL_CITATION {"citationItems":[{"id":"ITEM-1","itemData":{"DOI":"10.1053/j.semperi.2017.04.008","ISSN":"1558075X","PMID":"28625554","abstract":"Rates of maternal morbidity and mortality are rising in the United States. Non-Hispanic Black women are at highest risk for these outcomes compared to those of other race/ethnicities. Black women are also more likely to be late to prenatal care or be inadequate users of prenatal care. Prenatal care can engage those at risk and potentially influence perinatal outcomes but further research on the link between prenatal care and maternal outcomes is needed. The objective of this article is to review literature illuminating the relationship between prenatal care utilization, social determinants of health, and racial disparities in maternal outcome. We present a theoretical framework connecting the complex factors that may link race, social context, prenatal care utilization, and maternal morbidity/mortality. Prenatal care innovations showing potential to engage with the social determinants of maternal health and address disparities and priorities for future research are reviewed.","author":[{"dropping-particle":"","family":"Gadson","given":"Alexis","non-dropping-particle":"","parse-names":false,"suffix":""},{"dropping-particle":"","family":"Akpovi","given":"Eloho","non-dropping-particle":"","parse-names":false,"suffix":""},{"dropping-particle":"","family":"Mehta","given":"Pooja K.","non-dropping-particle":"","parse-names":false,"suffix":""}],"container-title":"Seminars in Perinatology","id":"ITEM-1","issue":"5","issued":{"date-parts":[["2017","8","1"]]},"page":"308-317","publisher":"W.B. Saunders","title":"Exploring the social determinants of racial/ethnic disparities in prenatal care utilization and maternal outcome","type":"article-journal","volume":"41"},"uris":["http://www.mendeley.com/documents/?uuid=c4b0e6ef-bf52-3525-8814-6015eb374cc0"]},{"id":"ITEM-2","itemData":{"DOI":"10.1097/GRF.0000000000000349","ISSN":"15325520","PMID":"29346121","abstract":"Significant racial and ethnic disparities in maternal morbidity and mortality exist in the United States. Black women are 3 to 4 times more likely to die a pregnancy-related death as compared with white women. Growing research indicates that quality of health care, from preconception through postpartum care, may be a critical lever for improving outcomes for racial and ethnic minority women. This article reviews racial and ethnic disparities in severe maternal morbidities and mortality, underlying drivers of these disparities, and potential levers to reduce their occurrence.","author":[{"dropping-particle":"","family":"Howell","given":"Elizabeth A.","non-dropping-particle":"","parse-names":false,"suffix":""}],"container-title":"Clinical Obstetrics and Gynecology","id":"ITEM-2","issue":"2","issued":{"date-parts":[["2018"]]},"page":"387-399","publisher":"Lippincott Williams and Wilkins","title":"Reducing Disparities in Severe Maternal Morbidity and Mortality","type":"article-journal","volume":"61"},"uris":["http://www.mendeley.com/documents/?uuid=96e9b3b4-4d86-3a27-ad0b-56e44dd5cd43"]}],"mendeley":{"formattedCitation":"&lt;sup&gt;21,22&lt;/sup&gt;","plainTextFormattedCitation":"21,22","previouslyFormattedCitation":"&lt;sup&gt;21,22&lt;/sup&gt;"},"properties":{"noteIndex":0},"schema":"https://github.com/citation-style-language/schema/raw/master/csl-citation.json"}</w:instrText>
      </w:r>
      <w:r w:rsidR="00F60862">
        <w:rPr>
          <w:rFonts w:ascii="Times" w:hAnsi="Times" w:cs="Times"/>
        </w:rPr>
        <w:fldChar w:fldCharType="separate"/>
      </w:r>
      <w:r w:rsidR="00DE08B1" w:rsidRPr="00DE08B1">
        <w:rPr>
          <w:rFonts w:ascii="Times" w:hAnsi="Times" w:cs="Times"/>
          <w:noProof/>
          <w:vertAlign w:val="superscript"/>
        </w:rPr>
        <w:t>21,22</w:t>
      </w:r>
      <w:r w:rsidR="00F60862">
        <w:rPr>
          <w:rFonts w:ascii="Times" w:hAnsi="Times" w:cs="Times"/>
        </w:rPr>
        <w:fldChar w:fldCharType="end"/>
      </w:r>
      <w:r w:rsidR="00F60862">
        <w:rPr>
          <w:rFonts w:ascii="Times" w:hAnsi="Times" w:cs="Times"/>
        </w:rPr>
        <w:t xml:space="preserve">. A study </w:t>
      </w:r>
      <w:r w:rsidR="001407ED">
        <w:rPr>
          <w:rFonts w:ascii="Times" w:hAnsi="Times" w:cs="Times"/>
        </w:rPr>
        <w:t>among</w:t>
      </w:r>
      <w:r w:rsidR="00F60862">
        <w:rPr>
          <w:rFonts w:ascii="Times" w:hAnsi="Times" w:cs="Times"/>
        </w:rPr>
        <w:t xml:space="preserve"> Black patients giving birth in Baltimore demonstrated a strong relationship between delayed use of prenatal care and experiences of group racism (racism impacting family, friends, neighborhood, and the broader African American community)</w:t>
      </w:r>
      <w:r w:rsidR="00F60862">
        <w:rPr>
          <w:rFonts w:ascii="Times" w:hAnsi="Times" w:cs="Times"/>
        </w:rPr>
        <w:fldChar w:fldCharType="begin" w:fldLock="1"/>
      </w:r>
      <w:r w:rsidR="00DE08B1">
        <w:rPr>
          <w:rFonts w:ascii="Times" w:hAnsi="Times" w:cs="Times"/>
        </w:rPr>
        <w:instrText>ADDIN CSL_CITATION {"citationItems":[{"id":"ITEM-1","itemData":{"DOI":"10.1016/j.whi.2013.08.001","ISSN":"10493867","PMID":"24041828","abstract":"Background: Racism has been hypothesized as a barrier to accessing health care. No quantitative study has directly assessed its influence on women's initiation of prenatal care (PNC). We examined the relationship between PNC entry and experiences of personal and group racism among low-income, African-American (AA) women. We also examined whether the use of denial of racism as a coping mechanism was associated with a delay in accessing PNC. Methods: Using a prospective/retrospective cohort design we collected data from 872 AA women (prenatally, n = 484; postpartum, n = 388). Multinomial logistic regression was used to assess the relationship between the overall denial of racism index and PNC initiation. Findings: PNC entry was not associated with personal experiences of racism (p = .33); it was significantly associated with group experiences (p &lt; .01). Conclusion: Denial of racism experienced by other AAs was a barrier to early PNC among low-income, AA women. Delayed access to PNC may be rooted in the avoidance of racialized experiences among less empowered women when faced with discrimination. Our findings have important implication for the engagement of AA women into the PNC delivery system and the health care system postpartum. © 2013 Jacobs Institute of Women's Health.","author":[{"dropping-particle":"","family":"Slaughter-Acey","given":"Jaime C.","non-dropping-particle":"","parse-names":false,"suffix":""},{"dropping-particle":"","family":"Caldwell","given":"Cleopatra H.","non-dropping-particle":"","parse-names":false,"suffix":""},{"dropping-particle":"","family":"Misra","given":"Dawn P.","non-dropping-particle":"","parse-names":false,"suffix":""}],"container-title":"Women's Health Issues","id":"ITEM-1","issue":"6","issued":{"date-parts":[["2013","11","1"]]},"page":"e381-e387","publisher":"Elsevier","title":"The influence of personal and group racism on entry into prenatal care among-African American Women","type":"article-journal","volume":"23"},"uris":["http://www.mendeley.com/documents/?uuid=2ce3537c-f1c5-3ebd-9eb4-741f345093d3"]}],"mendeley":{"formattedCitation":"&lt;sup&gt;23&lt;/sup&gt;","plainTextFormattedCitation":"23","previouslyFormattedCitation":"&lt;sup&gt;23&lt;/sup&gt;"},"properties":{"noteIndex":0},"schema":"https://github.com/citation-style-language/schema/raw/master/csl-citation.json"}</w:instrText>
      </w:r>
      <w:r w:rsidR="00F60862">
        <w:rPr>
          <w:rFonts w:ascii="Times" w:hAnsi="Times" w:cs="Times"/>
        </w:rPr>
        <w:fldChar w:fldCharType="separate"/>
      </w:r>
      <w:r w:rsidR="00DE08B1" w:rsidRPr="00DE08B1">
        <w:rPr>
          <w:rFonts w:ascii="Times" w:hAnsi="Times" w:cs="Times"/>
          <w:noProof/>
          <w:vertAlign w:val="superscript"/>
        </w:rPr>
        <w:t>23</w:t>
      </w:r>
      <w:r w:rsidR="00F60862">
        <w:rPr>
          <w:rFonts w:ascii="Times" w:hAnsi="Times" w:cs="Times"/>
        </w:rPr>
        <w:fldChar w:fldCharType="end"/>
      </w:r>
      <w:r w:rsidR="00F60862">
        <w:rPr>
          <w:rFonts w:ascii="Times" w:hAnsi="Times" w:cs="Times"/>
        </w:rPr>
        <w:t>. Further, NH Black and Hispanic/Latinx respondents had three times the odds of perceived race-based, language, or cultural discrimination</w:t>
      </w:r>
      <w:r w:rsidR="00F60862">
        <w:rPr>
          <w:rFonts w:ascii="Times" w:hAnsi="Times" w:cs="Times"/>
        </w:rPr>
        <w:fldChar w:fldCharType="begin" w:fldLock="1"/>
      </w:r>
      <w:r w:rsidR="00DE08B1">
        <w:rPr>
          <w:rFonts w:ascii="Times" w:hAnsi="Times" w:cs="Times"/>
        </w:rPr>
        <w:instrText>ADDIN CSL_CITATION {"citationItems":[{"id":"ITEM-1","itemData":{"DOI":"10.1053/j.semperi.2017.04.008","ISSN":"1558075X","PMID":"28625554","abstract":"Rates of maternal morbidity and mortality are rising in the United States. Non-Hispanic Black women are at highest risk for these outcomes compared to those of other race/ethnicities. Black women are also more likely to be late to prenatal care or be inadequate users of prenatal care. Prenatal care can engage those at risk and potentially influence perinatal outcomes but further research on the link between prenatal care and maternal outcomes is needed. The objective of this article is to review literature illuminating the relationship between prenatal care utilization, social determinants of health, and racial disparities in maternal outcome. We present a theoretical framework connecting the complex factors that may link race, social context, prenatal care utilization, and maternal morbidity/mortality. Prenatal care innovations showing potential to engage with the social determinants of maternal health and address disparities and priorities for future research are reviewed.","author":[{"dropping-particle":"","family":"Gadson","given":"Alexis","non-dropping-particle":"","parse-names":false,"suffix":""},{"dropping-particle":"","family":"Akpovi","given":"Eloho","non-dropping-particle":"","parse-names":false,"suffix":""},{"dropping-particle":"","family":"Mehta","given":"Pooja K.","non-dropping-particle":"","parse-names":false,"suffix":""}],"container-title":"Seminars in Perinatology","id":"ITEM-1","issue":"5","issued":{"date-parts":[["2017","8","1"]]},"page":"308-317","publisher":"W.B. Saunders","title":"Exploring the social determinants of racial/ethnic disparities in prenatal care utilization and maternal outcome","type":"article-journal","volume":"41"},"uris":["http://www.mendeley.com/documents/?uuid=c4b0e6ef-bf52-3525-8814-6015eb374cc0"]},{"id":"ITEM-2","itemData":{"DOI":"10.1097/MLR.0000000000000411","ISSN":"15371948","PMID":"26340663","abstract":"Background: High-quality communication and a positive patientprovider relationship are aspects of patient-centered care, a crucial component of quality. We assessed racial/ethnic disparities in patientreported communication problems and perceived discrimination in maternity care among women nationally and measured racial/ethnic variation in the correlates of these outcomes. Methods: Data for this analysis came from the Listening to Mothers III survey, a national sample of women who gave birth to a singleton baby in a US hospital in 2011-2012. Outcomes were reluctance to ask questions and barriers to open discussion in prenatal care, and perceived discrimination during the birth hospitalization, assessed using multinomial and logistic regression. We also estimated models stratified by race/ethnicity. Results: Over 40% of women reported communication problems in prenatal care, and 24% perceived discrimination during their hospitalization for birth. Having hypertension or diabetes was associated with higher levels of reluctance to ask questions and higher odds of reporting each type of perceived discrimination. Black and Hispanic (vs. white) women had higher odds of perceived discrimination due to race/ethnicity. Higher education was associated with more reported communication problems among black women only. Although having diabetes was associated with perceptions of discrimination among all women, associations were stronger for black women. Conclusions: Race/ethnicity was associated with perceived racial discrimination, but diabetes and hypertension were consistent predictors of communication problems and perceptions of discrimination. Efforts to improve communication and reduce perceived discrimination are an important area of focus for improving patientcentered care in maternity services. Key Words: patient-centered care, disparities,","author":[{"dropping-particle":"","family":"Attanasio","given":"Laura","non-dropping-particle":"","parse-names":false,"suffix":""},{"dropping-particle":"","family":"Kozhimannil","given":"Katy B.","non-dropping-particle":"","parse-names":false,"suffix":""}],"container-title":"Medical Care","id":"ITEM-2","issue":"10","issued":{"date-parts":[["2015","10","1"]]},"page":"863-871","publisher":"Lippincott Williams and Wilkins","title":"Patient-reported communication quality and perceived discrimination in maternity care","type":"article-journal","volume":"53"},"uris":["http://www.mendeley.com/documents/?uuid=d6d91416-4ee4-340d-89a4-227a2cd837d7"]}],"mendeley":{"formattedCitation":"&lt;sup&gt;21,24&lt;/sup&gt;","plainTextFormattedCitation":"21,24","previouslyFormattedCitation":"&lt;sup&gt;21,24&lt;/sup&gt;"},"properties":{"noteIndex":0},"schema":"https://github.com/citation-style-language/schema/raw/master/csl-citation.json"}</w:instrText>
      </w:r>
      <w:r w:rsidR="00F60862">
        <w:rPr>
          <w:rFonts w:ascii="Times" w:hAnsi="Times" w:cs="Times"/>
        </w:rPr>
        <w:fldChar w:fldCharType="separate"/>
      </w:r>
      <w:r w:rsidR="00DE08B1" w:rsidRPr="00DE08B1">
        <w:rPr>
          <w:rFonts w:ascii="Times" w:hAnsi="Times" w:cs="Times"/>
          <w:noProof/>
          <w:vertAlign w:val="superscript"/>
        </w:rPr>
        <w:t>21,24</w:t>
      </w:r>
      <w:r w:rsidR="00F60862">
        <w:rPr>
          <w:rFonts w:ascii="Times" w:hAnsi="Times" w:cs="Times"/>
        </w:rPr>
        <w:fldChar w:fldCharType="end"/>
      </w:r>
      <w:r w:rsidR="00F60862">
        <w:rPr>
          <w:rFonts w:ascii="Times" w:hAnsi="Times" w:cs="Times"/>
        </w:rPr>
        <w:t xml:space="preserve">.  These results suggest the need for additional research exploring how perceptions of discrimination in the healthcare system play roles in use of prenatal care among racially/ethnically diverse populations. </w:t>
      </w:r>
    </w:p>
    <w:p w14:paraId="68D5C376" w14:textId="14BF259D" w:rsidR="00A40CE4" w:rsidRPr="00AF3FC8" w:rsidRDefault="00F60862" w:rsidP="0086621D">
      <w:pPr>
        <w:pStyle w:val="NormalWeb"/>
        <w:spacing w:before="0" w:beforeAutospacing="0" w:after="0" w:afterAutospacing="0" w:line="480" w:lineRule="auto"/>
        <w:ind w:firstLine="720"/>
        <w:rPr>
          <w:rFonts w:ascii="Times" w:hAnsi="Times" w:cs="Times"/>
        </w:rPr>
      </w:pPr>
      <w:r>
        <w:rPr>
          <w:rFonts w:ascii="Times" w:hAnsi="Times" w:cs="Times"/>
        </w:rPr>
        <w:t>O</w:t>
      </w:r>
      <w:r w:rsidR="00097CFF">
        <w:rPr>
          <w:rFonts w:ascii="Times" w:hAnsi="Times" w:cs="Times"/>
        </w:rPr>
        <w:t xml:space="preserve">ur findings demonstrate a significant increase risk in NTSV cesarean delivery among </w:t>
      </w:r>
      <w:r>
        <w:rPr>
          <w:rFonts w:ascii="Times" w:hAnsi="Times" w:cs="Times"/>
        </w:rPr>
        <w:t xml:space="preserve">NH Black and </w:t>
      </w:r>
      <w:r w:rsidR="00097CFF">
        <w:rPr>
          <w:rFonts w:ascii="Times" w:hAnsi="Times" w:cs="Times"/>
        </w:rPr>
        <w:t xml:space="preserve">NH Asian patients. </w:t>
      </w:r>
      <w:r>
        <w:rPr>
          <w:rFonts w:ascii="Times" w:hAnsi="Times" w:cs="Times"/>
        </w:rPr>
        <w:t>A</w:t>
      </w:r>
      <w:r w:rsidR="00F63633">
        <w:rPr>
          <w:rFonts w:ascii="Times" w:hAnsi="Times" w:cs="Times"/>
        </w:rPr>
        <w:t xml:space="preserve"> </w:t>
      </w:r>
      <w:r w:rsidR="0064657F">
        <w:rPr>
          <w:rFonts w:ascii="Times" w:hAnsi="Times" w:cs="Times"/>
        </w:rPr>
        <w:t>2014 study of 427,393 NTSV births in Massachusetts did not find statistically significant disparities between Asian/ Pacific Islander and NH White patients</w:t>
      </w:r>
      <w:r w:rsidR="00F63633">
        <w:rPr>
          <w:rFonts w:ascii="Times" w:hAnsi="Times" w:cs="Times"/>
        </w:rPr>
        <w:t xml:space="preserve"> in risk of NTSV cesarean delivery </w:t>
      </w:r>
      <w:r w:rsidR="0064657F">
        <w:rPr>
          <w:rFonts w:ascii="Times" w:hAnsi="Times" w:cs="Times"/>
        </w:rPr>
        <w:t>(aOR 1.01, 95% CI 0.98, 1.04)</w:t>
      </w:r>
      <w:r w:rsidR="0064657F">
        <w:rPr>
          <w:rFonts w:ascii="Times" w:hAnsi="Times" w:cs="Times"/>
        </w:rPr>
        <w:fldChar w:fldCharType="begin" w:fldLock="1"/>
      </w:r>
      <w:r w:rsidR="00DE08B1">
        <w:rPr>
          <w:rFonts w:ascii="Times" w:hAnsi="Times" w:cs="Times"/>
        </w:rPr>
        <w:instrText>ADDIN CSL_CITATION {"citationItems":[{"id":"ITEM-1","itemData":{"DOI":"10.1111/birt.12108","ISSN":"1523536X","PMID":"24750358","abstract":"BACKGROUND: Our objective was to examine the likelihood of primary cesarean delivery for women at low risk for the procedure in Massachusetts.\nMETHODS: Birth certificate data for all births from 1996 to 2010 that were nulliparous, term, singleton, and vertex (NTSV; N = 427,393) were used to conduct logistic regression models to assess the likelihood of a cesarean delivery for each of the 31 ethnic groups relative to self-identified \"American\" mothers. The results were compared with broad classifications of race/ethnicity more commonly employed in research.\nRESULTS: While 23.3 percent of American women had primary cesarean deliveries, cesarean delivery rates varied from 12.9 percent for Cambodian to 32.4 percent for Nigerian women. Women from 21 of 30 ethnic groups had higher odds of a primary cesarean (range of adjusted odds ratios [AORs] 1.09-1.77), while only Chinese, Cambodian, and Japanese women had lower odds (range of AORs 0.66-0.92), compared with self-identified \"Americans.\" Using broad race/ethnicity categories, Non-Hispanic black, Hispanic, and \"Other\" women had higher odds of cesarean delivery relative to Non-Hispanic white women (range of AORs 1.12-1.47), while there were no differences for Asian or Pacific Islander women.\nCONCLUSIONS: Detailed maternal ethnicity explains the variation in NTSV cesarean delivery rates better than broad race/ethnicity categories. Different patterns of cesarean delivery between ethnic groups suggest cultural specificity related to birth culture.","author":[{"dropping-particle":"","family":"Edmonds","given":"Joyce K.","non-dropping-particle":"","parse-names":false,"suffix":""},{"dropping-particle":"","family":"Hawkins","given":"Summer S.","non-dropping-particle":"","parse-names":false,"suffix":""},{"dropping-particle":"","family":"Cohen","given":"Bruce B.","non-dropping-particle":"","parse-names":false,"suffix":""}],"container-title":"Birth (Berkeley, Calif.)","id":"ITEM-1","issue":"3","issued":{"date-parts":[["2014","9","1"]]},"page":"290-298","publisher":"Birth","title":"The influence of detailed maternal ethnicity on cesarean delivery: findings from the U.S. birth certificate in the State of Massachusetts","type":"article-journal","volume":"41"},"uris":["http://www.mendeley.com/documents/?uuid=c05c288d-ff6d-33c5-afdb-40d1e3231712"]}],"mendeley":{"formattedCitation":"&lt;sup&gt;14&lt;/sup&gt;","plainTextFormattedCitation":"14","previouslyFormattedCitation":"&lt;sup&gt;14&lt;/sup&gt;"},"properties":{"noteIndex":0},"schema":"https://github.com/citation-style-language/schema/raw/master/csl-citation.json"}</w:instrText>
      </w:r>
      <w:r w:rsidR="0064657F">
        <w:rPr>
          <w:rFonts w:ascii="Times" w:hAnsi="Times" w:cs="Times"/>
        </w:rPr>
        <w:fldChar w:fldCharType="separate"/>
      </w:r>
      <w:r w:rsidR="00DE08B1" w:rsidRPr="00DE08B1">
        <w:rPr>
          <w:rFonts w:ascii="Times" w:hAnsi="Times" w:cs="Times"/>
          <w:noProof/>
          <w:vertAlign w:val="superscript"/>
        </w:rPr>
        <w:t>14</w:t>
      </w:r>
      <w:r w:rsidR="0064657F">
        <w:rPr>
          <w:rFonts w:ascii="Times" w:hAnsi="Times" w:cs="Times"/>
        </w:rPr>
        <w:fldChar w:fldCharType="end"/>
      </w:r>
      <w:r w:rsidR="0064657F">
        <w:rPr>
          <w:rFonts w:ascii="Times" w:hAnsi="Times" w:cs="Times"/>
        </w:rPr>
        <w:t xml:space="preserve">. </w:t>
      </w:r>
      <w:r w:rsidR="00097CFF">
        <w:rPr>
          <w:rFonts w:ascii="Times" w:hAnsi="Times" w:cs="Times"/>
        </w:rPr>
        <w:t>When</w:t>
      </w:r>
      <w:r w:rsidR="0064657F">
        <w:rPr>
          <w:rFonts w:ascii="Times" w:hAnsi="Times" w:cs="Times"/>
        </w:rPr>
        <w:t xml:space="preserve"> </w:t>
      </w:r>
      <w:r w:rsidR="00454B56">
        <w:rPr>
          <w:rFonts w:ascii="Times" w:hAnsi="Times" w:cs="Times"/>
        </w:rPr>
        <w:t xml:space="preserve">the analysis was </w:t>
      </w:r>
      <w:r w:rsidR="0064657F">
        <w:rPr>
          <w:rFonts w:ascii="Times" w:hAnsi="Times" w:cs="Times"/>
        </w:rPr>
        <w:t>stratified based on Asian ethnicity, a significant</w:t>
      </w:r>
      <w:r w:rsidR="00454B56">
        <w:rPr>
          <w:rFonts w:ascii="Times" w:hAnsi="Times" w:cs="Times"/>
        </w:rPr>
        <w:t>ly</w:t>
      </w:r>
      <w:r w:rsidR="0064657F">
        <w:rPr>
          <w:rFonts w:ascii="Times" w:hAnsi="Times" w:cs="Times"/>
        </w:rPr>
        <w:t xml:space="preserve"> increased risk among Asian Indian (aOR 1.61, 95% CI 1.52, 1.70), Vietnamese (aOR 1.12, 95% CI 1.03, 1.21), and Filipino (aOR 1.56, 95% CI 1.39, 1.77) patients compared to NH White patients was demonstrated. Differences in distribution of Asian ethnicity between this population and our study population (Table 4) may account for the difference in results.</w:t>
      </w:r>
      <w:r>
        <w:rPr>
          <w:rFonts w:ascii="Times" w:hAnsi="Times" w:cs="Times"/>
        </w:rPr>
        <w:t xml:space="preserve"> </w:t>
      </w:r>
      <w:r w:rsidR="00826043">
        <w:rPr>
          <w:rFonts w:ascii="Times" w:hAnsi="Times" w:cs="Times"/>
        </w:rPr>
        <w:t>Our conclusion of an increased risk for severe perineal laceration in Asian patients is consistent with previous studies, however differences in estimates</w:t>
      </w:r>
      <w:r w:rsidR="00DB5081" w:rsidRPr="0064657F">
        <w:rPr>
          <w:rFonts w:ascii="Times" w:hAnsi="Times" w:cs="Times"/>
        </w:rPr>
        <w:t xml:space="preserve"> </w:t>
      </w:r>
      <w:r>
        <w:rPr>
          <w:rFonts w:ascii="Times" w:hAnsi="Times" w:cs="Times"/>
        </w:rPr>
        <w:t>between our study and other reports could be related to not evaluating NH Asian subgroups</w:t>
      </w:r>
      <w:r w:rsidR="006660C9">
        <w:rPr>
          <w:rFonts w:ascii="Times" w:hAnsi="Times" w:cs="Times"/>
        </w:rPr>
        <w:fldChar w:fldCharType="begin" w:fldLock="1"/>
      </w:r>
      <w:r w:rsidR="00DE08B1">
        <w:rPr>
          <w:rFonts w:ascii="Times" w:hAnsi="Times" w:cs="Times"/>
        </w:rPr>
        <w:instrText>ADDIN CSL_CITATION {"citationItems":[{"id":"ITEM-1","itemData":{"DOI":"10.1016/j.ajog.2004.12.007","ISSN":"00029378","PMID":"16098870","abstract":"Objective: To determine if variation exists between ethnicities for risk of perineal, vaginal, and cervical laceration at vaginal delivery. Study design: Retrospective cohort study of nulliparous women who underwent vaginal delivery of a vertex presentation. Predictor variable was ethnicity with outcome variables cervical, vaginal, and second-, third-, or fourth-degree perineal laceration. Logistic regression analysis was conducted to control for confounders. Results: Of the 17,216 who met criteria, Filipino (OR = 1.92, 95% CI 1.64-2.25) and Chinese (OR = 1.60, 95% CI 1.33-1.92) women were at greatest risk for third- and fourth-degree laceration. Only Filipino (OR = 1.32, 95% CI 1.10-1.57) and other Asian (OR = 1.23, 95% CI 1.08-1.41) women were at slightly increased risk of vaginal laceration. No differences were seen for cervical laceration. Conclusion: Different ethnicities are at widely varying risk of perineal laceration, but little difference exists for vaginal or cervical lacerations. Research into the mechanisms behind this should investigate differences in perineal anatomy. © 2005 Elsevier Inc. All rights reserved.","author":[{"dropping-particle":"","family":"Hopkins","given":"Linda M.","non-dropping-particle":"","parse-names":false,"suffix":""},{"dropping-particle":"","family":"Caughey","given":"Aaron B.","non-dropping-particle":"","parse-names":false,"suffix":""},{"dropping-particle":"V.","family":"Glidden","given":"David","non-dropping-particle":"","parse-names":false,"suffix":""},{"dropping-particle":"","family":"Laros","given":"Russell K.","non-dropping-particle":"","parse-names":false,"suffix":""}],"container-title":"American Journal of Obstetrics and Gynecology","id":"ITEM-1","issue":"2","issued":{"date-parts":[["2005","8"]]},"page":"455-459","publisher":"Am J Obstet Gynecol","title":"Racial/ethnic differences in perineal, vaginal and cervical lacerations","type":"article-journal","volume":"193"},"uris":["http://www.mendeley.com/documents/?uuid=022b9a34-8d75-3758-8b04-d4cf1545cebf"]},{"id":"ITEM-2","itemData":{"DOI":"10.1067/mob.2003.251","ISSN":"00029378","PMID":"12712111","abstract":"OBJECTIVE: The purpose of this study was to determine the relationship between maternal race and rates of third- and fourth-degree laceration after vaginal delivery. STUDY DESIGN: An electronic audit of the medical procedures database at Thomas Jefferson University Hospital from 1983 through 2000 was completed. Univariate and multivariable models were computed with the use of logistic regression models. RESULTS: From the database, 34,048 vaginal deliveries were identified, with 3487 deliveries resulting in third- or fourth-degree laceration (10.2%). Overall severe laceration rates by race with all vaginal deliveries for patients without and with episiotomy were as follows: white, 4.3% and 15.1%; black, 2.0% and 19.3%; Asian 9.1% and 32.3%; Hispanic, 3.4% and 17.0%, respectively. After being controled for other variables with multivariable logistic regression in all vaginal deliveries, Asian race (odds ratio, 2.04; 95% CI, 1.43-2.92), forceps (odds ratio, 3.71; 95% CI, 3.39-4.05), vacuum-assisted delivery (odds ratio, 1.86; 95% CI, 1.64-2.10), large size for gestational age (odds ratio, 1.94; 95% CI, 1.21-3.09), and episiotomy (odds ratio, 3.09; 95% CI, 2.66-3.59) were associated significantly with severe lacerations. CONCLUSION: Race is an independent risk factor for severe perineal lacerations after vaginal delivery, with Asian women at highest risk. Asian women who undergo episiotomy and operative vaginal delivery are especially at high risk for rectal sphincter injury.","author":[{"dropping-particle":"","family":"Goldberg","given":"Jay","non-dropping-particle":"","parse-names":false,"suffix":""},{"dropping-particle":"","family":"Hyslop","given":"Terry","non-dropping-particle":"","parse-names":false,"suffix":""},{"dropping-particle":"","family":"Tolosa","given":"Jorge E.","non-dropping-particle":"","parse-names":false,"suffix":""},{"dropping-particle":"","family":"Sultana","given":"Carmen","non-dropping-particle":"","parse-names":false,"suffix":""}],"container-title":"American Journal of Obstetrics and Gynecology","id":"ITEM-2","issue":"4","issued":{"date-parts":[["2003","4","1"]]},"page":"1063-1067","publisher":"Mosby Inc.","title":"Racial differences in severe perineal lacerations after vaginal delivery","type":"article-journal","volume":"188"},"uris":["http://www.mendeley.com/documents/?uuid=70ed7c64-e4a2-30d8-b2c4-f14503dd665b"]}],"mendeley":{"formattedCitation":"&lt;sup&gt;16,25&lt;/sup&gt;","plainTextFormattedCitation":"16,25","previouslyFormattedCitation":"&lt;sup&gt;16,25&lt;/sup&gt;"},"properties":{"noteIndex":0},"schema":"https://github.com/citation-style-language/schema/raw/master/csl-citation.json"}</w:instrText>
      </w:r>
      <w:r w:rsidR="006660C9">
        <w:rPr>
          <w:rFonts w:ascii="Times" w:hAnsi="Times" w:cs="Times"/>
        </w:rPr>
        <w:fldChar w:fldCharType="separate"/>
      </w:r>
      <w:r w:rsidR="00DE08B1" w:rsidRPr="00DE08B1">
        <w:rPr>
          <w:rFonts w:ascii="Times" w:hAnsi="Times" w:cs="Times"/>
          <w:noProof/>
          <w:vertAlign w:val="superscript"/>
        </w:rPr>
        <w:t>16,25</w:t>
      </w:r>
      <w:r w:rsidR="006660C9">
        <w:rPr>
          <w:rFonts w:ascii="Times" w:hAnsi="Times" w:cs="Times"/>
        </w:rPr>
        <w:fldChar w:fldCharType="end"/>
      </w:r>
      <w:r>
        <w:rPr>
          <w:rFonts w:ascii="Times" w:hAnsi="Times" w:cs="Times"/>
        </w:rPr>
        <w:t xml:space="preserve">. </w:t>
      </w:r>
      <w:r w:rsidR="0086621D" w:rsidRPr="006D7521">
        <w:rPr>
          <w:rFonts w:ascii="Times" w:hAnsi="Times" w:cs="Times"/>
        </w:rPr>
        <w:t xml:space="preserve">More </w:t>
      </w:r>
      <w:r w:rsidR="00A40CE4" w:rsidRPr="006D7521">
        <w:rPr>
          <w:rFonts w:ascii="Times" w:hAnsi="Times" w:cs="Times"/>
        </w:rPr>
        <w:t xml:space="preserve">research is needed on </w:t>
      </w:r>
      <w:r w:rsidR="00093BF8">
        <w:rPr>
          <w:rFonts w:ascii="Times" w:hAnsi="Times" w:cs="Times"/>
        </w:rPr>
        <w:t xml:space="preserve">NH </w:t>
      </w:r>
      <w:r w:rsidR="00A40CE4" w:rsidRPr="006D7521">
        <w:rPr>
          <w:rFonts w:ascii="Times" w:hAnsi="Times" w:cs="Times"/>
        </w:rPr>
        <w:t>Asian-</w:t>
      </w:r>
      <w:r w:rsidR="00093BF8">
        <w:rPr>
          <w:rFonts w:ascii="Times" w:hAnsi="Times" w:cs="Times"/>
        </w:rPr>
        <w:t xml:space="preserve">NH </w:t>
      </w:r>
      <w:r w:rsidR="00A40CE4" w:rsidRPr="006D7521">
        <w:rPr>
          <w:rFonts w:ascii="Times" w:hAnsi="Times" w:cs="Times"/>
        </w:rPr>
        <w:t>White 3</w:t>
      </w:r>
      <w:r w:rsidR="00A40CE4" w:rsidRPr="006D7521">
        <w:rPr>
          <w:rFonts w:ascii="Times" w:hAnsi="Times" w:cs="Times"/>
          <w:vertAlign w:val="superscript"/>
        </w:rPr>
        <w:t>rd</w:t>
      </w:r>
      <w:r w:rsidR="00A40CE4" w:rsidRPr="006D7521">
        <w:rPr>
          <w:rFonts w:ascii="Times" w:hAnsi="Times" w:cs="Times"/>
        </w:rPr>
        <w:t>/4</w:t>
      </w:r>
      <w:r w:rsidR="00A40CE4" w:rsidRPr="006D7521">
        <w:rPr>
          <w:rFonts w:ascii="Times" w:hAnsi="Times" w:cs="Times"/>
          <w:vertAlign w:val="superscript"/>
        </w:rPr>
        <w:t>th</w:t>
      </w:r>
      <w:r w:rsidR="00A40CE4" w:rsidRPr="006D7521">
        <w:rPr>
          <w:rFonts w:ascii="Times" w:hAnsi="Times" w:cs="Times"/>
        </w:rPr>
        <w:t xml:space="preserve"> degree </w:t>
      </w:r>
      <w:r w:rsidR="00A40CE4" w:rsidRPr="00AF3FC8">
        <w:rPr>
          <w:rFonts w:ascii="Times" w:hAnsi="Times" w:cs="Times"/>
        </w:rPr>
        <w:t xml:space="preserve">laceration </w:t>
      </w:r>
      <w:r w:rsidR="006D7521" w:rsidRPr="00AF3FC8">
        <w:rPr>
          <w:rFonts w:ascii="Times" w:hAnsi="Times" w:cs="Times"/>
        </w:rPr>
        <w:t xml:space="preserve">and </w:t>
      </w:r>
      <w:r w:rsidR="001071EF">
        <w:rPr>
          <w:rFonts w:ascii="Times" w:hAnsi="Times" w:cs="Times"/>
        </w:rPr>
        <w:t xml:space="preserve">NTSV </w:t>
      </w:r>
      <w:r w:rsidR="006D7521" w:rsidRPr="00AF3FC8">
        <w:rPr>
          <w:rFonts w:ascii="Times" w:hAnsi="Times" w:cs="Times"/>
        </w:rPr>
        <w:t xml:space="preserve">cesarean delivery </w:t>
      </w:r>
      <w:r w:rsidR="00A40CE4" w:rsidRPr="00AF3FC8">
        <w:rPr>
          <w:rFonts w:ascii="Times" w:hAnsi="Times" w:cs="Times"/>
        </w:rPr>
        <w:t xml:space="preserve">disparities within </w:t>
      </w:r>
      <w:r w:rsidR="00093BF8">
        <w:rPr>
          <w:rFonts w:ascii="Times" w:hAnsi="Times" w:cs="Times"/>
        </w:rPr>
        <w:t xml:space="preserve">NH </w:t>
      </w:r>
      <w:r w:rsidR="00A40CE4" w:rsidRPr="00AF3FC8">
        <w:rPr>
          <w:rFonts w:ascii="Times" w:hAnsi="Times" w:cs="Times"/>
        </w:rPr>
        <w:t>Asian subgroups</w:t>
      </w:r>
      <w:r w:rsidR="00890AD9">
        <w:rPr>
          <w:rFonts w:ascii="Times" w:hAnsi="Times" w:cs="Times"/>
        </w:rPr>
        <w:t xml:space="preserve"> and on efforts to reduce severe perineal lacerations</w:t>
      </w:r>
      <w:r w:rsidR="00A40CE4" w:rsidRPr="00AF3FC8">
        <w:rPr>
          <w:rFonts w:ascii="Times" w:hAnsi="Times" w:cs="Times"/>
        </w:rPr>
        <w:t>.</w:t>
      </w:r>
    </w:p>
    <w:p w14:paraId="6E2D10F6" w14:textId="17C93FA4" w:rsidR="00406B31" w:rsidRPr="00993C06" w:rsidRDefault="00B231FD" w:rsidP="00371ECB">
      <w:pPr>
        <w:pStyle w:val="NormalWeb"/>
        <w:spacing w:before="0" w:beforeAutospacing="0" w:after="0" w:afterAutospacing="0" w:line="480" w:lineRule="auto"/>
        <w:ind w:firstLine="720"/>
        <w:rPr>
          <w:rFonts w:ascii="Times" w:hAnsi="Times" w:cs="Times"/>
          <w:highlight w:val="yellow"/>
        </w:rPr>
      </w:pPr>
      <w:r>
        <w:rPr>
          <w:rFonts w:ascii="Times" w:hAnsi="Times" w:cs="Times"/>
        </w:rPr>
        <w:t xml:space="preserve">Our motivation for assessing disparities in epidural administration stemmed from </w:t>
      </w:r>
      <w:r w:rsidR="00103E40">
        <w:rPr>
          <w:rFonts w:ascii="Times" w:hAnsi="Times" w:cs="Times"/>
        </w:rPr>
        <w:t xml:space="preserve">evidence </w:t>
      </w:r>
      <w:r>
        <w:rPr>
          <w:rFonts w:ascii="Times" w:hAnsi="Times" w:cs="Times"/>
        </w:rPr>
        <w:t xml:space="preserve">demonstrating </w:t>
      </w:r>
      <w:r w:rsidR="00103E40">
        <w:rPr>
          <w:rFonts w:ascii="Times" w:hAnsi="Times" w:cs="Times"/>
        </w:rPr>
        <w:t>racial bias</w:t>
      </w:r>
      <w:r>
        <w:rPr>
          <w:rFonts w:ascii="Times" w:hAnsi="Times" w:cs="Times"/>
        </w:rPr>
        <w:t xml:space="preserve"> in provider perception of patient pain</w:t>
      </w:r>
      <w:r w:rsidR="004C3E39">
        <w:rPr>
          <w:rFonts w:ascii="Times" w:hAnsi="Times" w:cs="Times"/>
        </w:rPr>
        <w:fldChar w:fldCharType="begin" w:fldLock="1"/>
      </w:r>
      <w:r w:rsidR="00DE08B1">
        <w:rPr>
          <w:rFonts w:ascii="Times" w:hAnsi="Times" w:cs="Times"/>
        </w:rPr>
        <w:instrText>ADDIN CSL_CITATION {"citationItems":[{"id":"ITEM-1","itemData":{"DOI":"10.1073/pnas.1516047113","ISSN":"10916490","PMID":"27044069","abstract":"Black Americans are systematically undertreated for pain relative to white Americans. We examine whether this racial bias is related to false beliefs about biological differences between blacks and whites (e.g., \"black people's skin is thicker than white people's skin\"). Study 1 documented these beliefs among white laypersons and revealed that participants who more strongly endorsed false beliefs about biological differences reported lower pain ratings for a black (vs. white) target. Study 2 extended these findings to the medical context and found that half of a sample of white medical students and residents endorsed these beliefs. Moreover, participants who endorsed these beliefs rated the black (vs. white) patient's pain as lower and made less accurate treatment recommendations. Participants who did not endorse these beliefs rated the black (vs. white) patient's pain as higher, but showed no bias in treatment recommendations. These findings suggest that individuals with at least some medical training hold and may use false beliefs about biological differences between blacks and whites to inform medical judgments, which may contribute to racial disparities in pain assessment and treatment.","author":[{"dropping-particle":"","family":"Hoffman","given":"Kelly M.","non-dropping-particle":"","parse-names":false,"suffix":""},{"dropping-particle":"","family":"Trawalter","given":"Sophie","non-dropping-particle":"","parse-names":false,"suffix":""},{"dropping-particle":"","family":"Axt","given":"Jordan R.","non-dropping-particle":"","parse-names":false,"suffix":""},{"dropping-particle":"","family":"Oliver","given":"M. Norman","non-dropping-particle":"","parse-names":false,"suffix":""}],"container-title":"Proceedings of the National Academy of Sciences of the United States of America","id":"ITEM-1","issue":"16","issued":{"date-parts":[["2016","4","19"]]},"page":"4296-4301","publisher":"National Academy of Sciences","title":"Racial bias in pain assessment and treatment recommendations, and false beliefs about biological differences between blacks and whites","type":"article-journal","volume":"113"},"uris":["http://www.mendeley.com/documents/?uuid=ccc9cd50-cde1-35c5-b37e-13ac4ff70d5e"]}],"mendeley":{"formattedCitation":"&lt;sup&gt;26&lt;/sup&gt;","plainTextFormattedCitation":"26","previouslyFormattedCitation":"&lt;sup&gt;26&lt;/sup&gt;"},"properties":{"noteIndex":0},"schema":"https://github.com/citation-style-language/schema/raw/master/csl-citation.json"}</w:instrText>
      </w:r>
      <w:r w:rsidR="004C3E39">
        <w:rPr>
          <w:rFonts w:ascii="Times" w:hAnsi="Times" w:cs="Times"/>
        </w:rPr>
        <w:fldChar w:fldCharType="separate"/>
      </w:r>
      <w:r w:rsidR="00DE08B1" w:rsidRPr="00DE08B1">
        <w:rPr>
          <w:rFonts w:ascii="Times" w:hAnsi="Times" w:cs="Times"/>
          <w:noProof/>
          <w:vertAlign w:val="superscript"/>
        </w:rPr>
        <w:t>26</w:t>
      </w:r>
      <w:r w:rsidR="004C3E39">
        <w:rPr>
          <w:rFonts w:ascii="Times" w:hAnsi="Times" w:cs="Times"/>
        </w:rPr>
        <w:fldChar w:fldCharType="end"/>
      </w:r>
      <w:r w:rsidR="004C3E39">
        <w:rPr>
          <w:rFonts w:ascii="Times" w:hAnsi="Times" w:cs="Times"/>
        </w:rPr>
        <w:t>.</w:t>
      </w:r>
      <w:r w:rsidR="00E410EC">
        <w:rPr>
          <w:rFonts w:ascii="Times" w:hAnsi="Times" w:cs="Times"/>
        </w:rPr>
        <w:t xml:space="preserve"> </w:t>
      </w:r>
      <w:r w:rsidR="00B625D3">
        <w:rPr>
          <w:rFonts w:ascii="Times" w:hAnsi="Times" w:cs="Times"/>
        </w:rPr>
        <w:t>Previous research</w:t>
      </w:r>
      <w:r w:rsidR="00AB1E65">
        <w:rPr>
          <w:rFonts w:ascii="Times" w:hAnsi="Times" w:cs="Times"/>
        </w:rPr>
        <w:t xml:space="preserve"> </w:t>
      </w:r>
      <w:r w:rsidR="00B625D3">
        <w:rPr>
          <w:rFonts w:ascii="Times" w:hAnsi="Times" w:cs="Times"/>
        </w:rPr>
        <w:t>has suggested that Black</w:t>
      </w:r>
      <w:r w:rsidR="0013081B">
        <w:rPr>
          <w:rFonts w:ascii="Times" w:hAnsi="Times" w:cs="Times"/>
        </w:rPr>
        <w:t xml:space="preserve"> and </w:t>
      </w:r>
      <w:r w:rsidR="00B625D3">
        <w:rPr>
          <w:rFonts w:ascii="Times" w:hAnsi="Times" w:cs="Times"/>
        </w:rPr>
        <w:t>Hispanic</w:t>
      </w:r>
      <w:r w:rsidR="0013081B">
        <w:rPr>
          <w:rFonts w:ascii="Times" w:hAnsi="Times" w:cs="Times"/>
        </w:rPr>
        <w:t xml:space="preserve"> patients are</w:t>
      </w:r>
      <w:r w:rsidR="00B625D3">
        <w:rPr>
          <w:rFonts w:ascii="Times" w:hAnsi="Times" w:cs="Times"/>
        </w:rPr>
        <w:t xml:space="preserve"> less likely than NH White patients to receive </w:t>
      </w:r>
      <w:r w:rsidR="002829E4">
        <w:rPr>
          <w:rFonts w:ascii="Times" w:hAnsi="Times" w:cs="Times"/>
        </w:rPr>
        <w:t xml:space="preserve">either </w:t>
      </w:r>
      <w:r w:rsidR="00B625D3">
        <w:rPr>
          <w:rFonts w:ascii="Times" w:hAnsi="Times" w:cs="Times"/>
        </w:rPr>
        <w:t>an epidural</w:t>
      </w:r>
      <w:r w:rsidR="002829E4">
        <w:rPr>
          <w:rFonts w:ascii="Times" w:hAnsi="Times" w:cs="Times"/>
        </w:rPr>
        <w:t xml:space="preserve"> or postpartum pain medications</w:t>
      </w:r>
      <w:r w:rsidR="00576B62">
        <w:rPr>
          <w:rFonts w:ascii="Times" w:hAnsi="Times" w:cs="Times"/>
        </w:rPr>
        <w:t>.</w:t>
      </w:r>
      <w:r w:rsidR="00B625D3" w:rsidRPr="00085B2E">
        <w:rPr>
          <w:rFonts w:ascii="Times" w:hAnsi="Times" w:cs="Times"/>
        </w:rPr>
        <w:fldChar w:fldCharType="begin" w:fldLock="1"/>
      </w:r>
      <w:r w:rsidR="00DE08B1">
        <w:rPr>
          <w:rFonts w:ascii="Times" w:hAnsi="Times" w:cs="Times"/>
        </w:rPr>
        <w:instrText>ADDIN CSL_CITATION {"citationItems":[{"id":"ITEM-1","itemData":{"DOI":"10.1097/00000542-200701000-00008","ISSN":"00033022","PMID":"17197841","abstract":"BACKGROUND: There is strong evidence that pain is undertreated in black and Hispanic patients. The association between race and ethnicity and the use of epidural analgesia for labor is not well described. METHODS: Using the New York State Perinatal Database, the authors examined whether race and ethnicity were associated with the likelihood of receiving epidural analgesia for labor after adjusting for clinical characteristics, demographics, insurance coverage, and provider effect. This retrospective cohort study was based on 81,883 women admitted for childbirth between 1998 and 2003. RESULTS: Overall, 38.3% of the patients received epidural analgesia for labor. After adjusting for clinical risk factors, socioeconomic status, and provider fixed effects, Hispanic and black patients were less likely than non-Hispanic white patients to receive epidural analgesia: The adjusted odds ratio was 0.85 (95% CI, 0.78-0.93) for white/Hispanic and 0.78 (0.74-0.83) for blacks compared with non-Hispanic whites. Compared with patients with private insurance, patients without insurance were least likely to receive epidural analgesia (adjusted odds ratio, 0.76; 95% CI, 0.64-0.89). Black patients with private insurance had similar rates of epidural use to white/non-Hispanic patients without insurance coverage: The adjusted odds ratio was 0.66 (95% CI, 0.53-0.82) for white/non-Hispanic patients without insurance versus 0.69 (0.57-0.85) for black patients with private insurance. CONCLUSION: Black and Hispanic women in labor are less likely than non-Hispanic white women to receive epidural analgesia. These differences remain after accounting for differences in insurance coverage, provider practice, and clinical characteristics. © 2007 American Society of Anesthesiologists, Inc.","author":[{"dropping-particle":"","family":"Glance","given":"Laurent G.","non-dropping-particle":"","parse-names":false,"suffix":""},{"dropping-particle":"","family":"Wissler","given":"Richard","non-dropping-particle":"","parse-names":false,"suffix":""},{"dropping-particle":"","family":"Glantz","given":"Christopher","non-dropping-particle":"","parse-names":false,"suffix":""},{"dropping-particle":"","family":"Osler","given":"Turner M.","non-dropping-particle":"","parse-names":false,"suffix":""},{"dropping-particle":"","family":"Mukamel","given":"Dana B.","non-dropping-particle":"","parse-names":false,"suffix":""},{"dropping-particle":"","family":"Dick","given":"Andrew W.","non-dropping-particle":"","parse-names":false,"suffix":""}],"container-title":"Anesthesiology","id":"ITEM-1","issue":"1","issued":{"date-parts":[["2007","1","1"]]},"page":"19-25","publisher":"American Society of Anesthesiologists","title":"Racial differences in the use of epidural analgesia for labor","type":"article-journal","volume":"106"},"uris":["http://www.mendeley.com/documents/?uuid=de5ce5d1-e173-3d07-aad8-e9d8b315732f"]}],"mendeley":{"formattedCitation":"&lt;sup&gt;18&lt;/sup&gt;","plainTextFormattedCitation":"18","previouslyFormattedCitation":"&lt;sup&gt;18&lt;/sup&gt;"},"properties":{"noteIndex":0},"schema":"https://github.com/citation-style-language/schema/raw/master/csl-citation.json"}</w:instrText>
      </w:r>
      <w:r w:rsidR="00B625D3" w:rsidRPr="00085B2E">
        <w:rPr>
          <w:rFonts w:ascii="Times" w:hAnsi="Times" w:cs="Times"/>
        </w:rPr>
        <w:fldChar w:fldCharType="separate"/>
      </w:r>
      <w:r w:rsidR="00DE08B1" w:rsidRPr="00DE08B1">
        <w:rPr>
          <w:rFonts w:ascii="Times" w:hAnsi="Times" w:cs="Times"/>
          <w:noProof/>
          <w:vertAlign w:val="superscript"/>
        </w:rPr>
        <w:t>18</w:t>
      </w:r>
      <w:r w:rsidR="00B625D3" w:rsidRPr="00085B2E">
        <w:rPr>
          <w:rFonts w:ascii="Times" w:hAnsi="Times" w:cs="Times"/>
        </w:rPr>
        <w:fldChar w:fldCharType="end"/>
      </w:r>
      <w:r w:rsidR="00261288">
        <w:rPr>
          <w:rFonts w:ascii="Times" w:hAnsi="Times" w:cs="Times"/>
        </w:rPr>
        <w:t xml:space="preserve"> </w:t>
      </w:r>
      <w:r w:rsidR="001B64F1" w:rsidRPr="00DA37A6">
        <w:rPr>
          <w:rFonts w:ascii="Times" w:hAnsi="Times" w:cs="Times"/>
        </w:rPr>
        <w:t xml:space="preserve">Our study </w:t>
      </w:r>
      <w:r w:rsidR="001B64F1">
        <w:rPr>
          <w:rFonts w:ascii="Times" w:hAnsi="Times" w:cs="Times"/>
        </w:rPr>
        <w:t>only found a disparity in epidural administration between NH Asian and NH White patients</w:t>
      </w:r>
      <w:r w:rsidR="00103E40">
        <w:rPr>
          <w:rFonts w:ascii="Times" w:hAnsi="Times" w:cs="Times"/>
        </w:rPr>
        <w:t xml:space="preserve">, with NH Asian patients </w:t>
      </w:r>
      <w:r w:rsidR="00576B62">
        <w:rPr>
          <w:rFonts w:ascii="Times" w:hAnsi="Times" w:cs="Times"/>
        </w:rPr>
        <w:t xml:space="preserve">being </w:t>
      </w:r>
      <w:r w:rsidR="00103E40">
        <w:rPr>
          <w:rFonts w:ascii="Times" w:hAnsi="Times" w:cs="Times"/>
        </w:rPr>
        <w:t>more likely to receive an epidural</w:t>
      </w:r>
      <w:r w:rsidR="001B64F1">
        <w:rPr>
          <w:rFonts w:ascii="Times" w:hAnsi="Times" w:cs="Times"/>
        </w:rPr>
        <w:t xml:space="preserve"> (Table 3). </w:t>
      </w:r>
      <w:r w:rsidR="00F23294">
        <w:rPr>
          <w:rFonts w:ascii="Times" w:hAnsi="Times" w:cs="Times"/>
        </w:rPr>
        <w:t>R</w:t>
      </w:r>
      <w:r w:rsidR="006722CB">
        <w:rPr>
          <w:rFonts w:ascii="Times" w:hAnsi="Times" w:cs="Times"/>
        </w:rPr>
        <w:t xml:space="preserve">egional disparities </w:t>
      </w:r>
      <w:r w:rsidR="00F23294">
        <w:rPr>
          <w:rFonts w:ascii="Times" w:hAnsi="Times" w:cs="Times"/>
        </w:rPr>
        <w:t xml:space="preserve">may be </w:t>
      </w:r>
      <w:r w:rsidR="006722CB">
        <w:rPr>
          <w:rFonts w:ascii="Times" w:hAnsi="Times" w:cs="Times"/>
        </w:rPr>
        <w:t>driving the difference</w:t>
      </w:r>
      <w:r w:rsidR="00F23294">
        <w:rPr>
          <w:rFonts w:ascii="Times" w:hAnsi="Times" w:cs="Times"/>
        </w:rPr>
        <w:t>s</w:t>
      </w:r>
      <w:r w:rsidR="006722CB">
        <w:rPr>
          <w:rFonts w:ascii="Times" w:hAnsi="Times" w:cs="Times"/>
        </w:rPr>
        <w:t xml:space="preserve"> in results between our study and previous </w:t>
      </w:r>
      <w:r w:rsidR="00F23294">
        <w:rPr>
          <w:rFonts w:ascii="Times" w:hAnsi="Times" w:cs="Times"/>
        </w:rPr>
        <w:t>reports</w:t>
      </w:r>
      <w:r w:rsidR="006722CB">
        <w:rPr>
          <w:rFonts w:ascii="Times" w:hAnsi="Times" w:cs="Times"/>
        </w:rPr>
        <w:t xml:space="preserve">. </w:t>
      </w:r>
    </w:p>
    <w:p w14:paraId="449206EB" w14:textId="6ED75651" w:rsidR="008A20ED" w:rsidRDefault="002829E4" w:rsidP="00C67D31">
      <w:pPr>
        <w:pStyle w:val="NormalWeb"/>
        <w:spacing w:before="0" w:beforeAutospacing="0" w:after="0" w:afterAutospacing="0" w:line="480" w:lineRule="auto"/>
        <w:ind w:firstLine="720"/>
        <w:rPr>
          <w:rFonts w:ascii="Times" w:hAnsi="Times" w:cs="Times"/>
        </w:rPr>
      </w:pPr>
      <w:r>
        <w:rPr>
          <w:rFonts w:ascii="Times" w:hAnsi="Times" w:cs="Times"/>
        </w:rPr>
        <w:t>S</w:t>
      </w:r>
      <w:r w:rsidR="00B11FCF">
        <w:rPr>
          <w:rFonts w:ascii="Times" w:hAnsi="Times" w:cs="Times"/>
        </w:rPr>
        <w:t>everal</w:t>
      </w:r>
      <w:r w:rsidR="00FB257E">
        <w:rPr>
          <w:rFonts w:ascii="Times" w:hAnsi="Times" w:cs="Times"/>
        </w:rPr>
        <w:t xml:space="preserve"> limitations </w:t>
      </w:r>
      <w:r>
        <w:rPr>
          <w:rFonts w:ascii="Times" w:hAnsi="Times" w:cs="Times"/>
        </w:rPr>
        <w:t xml:space="preserve">of our study </w:t>
      </w:r>
      <w:r w:rsidR="00E079DA">
        <w:rPr>
          <w:rFonts w:ascii="Times" w:hAnsi="Times" w:cs="Times"/>
        </w:rPr>
        <w:t>deserve mention</w:t>
      </w:r>
      <w:r w:rsidR="00FB257E">
        <w:rPr>
          <w:rFonts w:ascii="Times" w:hAnsi="Times" w:cs="Times"/>
        </w:rPr>
        <w:t>.</w:t>
      </w:r>
      <w:r w:rsidR="00C67D31">
        <w:rPr>
          <w:rFonts w:ascii="Times" w:hAnsi="Times" w:cs="Times"/>
        </w:rPr>
        <w:t xml:space="preserve"> </w:t>
      </w:r>
      <w:r>
        <w:rPr>
          <w:rFonts w:ascii="Times" w:hAnsi="Times" w:cs="Times"/>
        </w:rPr>
        <w:t>T</w:t>
      </w:r>
      <w:r w:rsidR="008A20ED">
        <w:rPr>
          <w:rFonts w:ascii="Times" w:hAnsi="Times" w:cs="Times"/>
        </w:rPr>
        <w:t>he small sample sizes within certain racial or ethnic patient groups</w:t>
      </w:r>
      <w:r w:rsidR="001B0674">
        <w:rPr>
          <w:rFonts w:ascii="Times" w:hAnsi="Times" w:cs="Times"/>
        </w:rPr>
        <w:t xml:space="preserve"> (</w:t>
      </w:r>
      <w:r w:rsidR="006660C9">
        <w:rPr>
          <w:rFonts w:ascii="Times" w:hAnsi="Times" w:cs="Times"/>
        </w:rPr>
        <w:t xml:space="preserve">e.g. </w:t>
      </w:r>
      <w:r w:rsidR="006660C9" w:rsidRPr="00AF3FC8">
        <w:rPr>
          <w:rFonts w:ascii="Times" w:hAnsi="Times" w:cs="Times"/>
        </w:rPr>
        <w:t>NH</w:t>
      </w:r>
      <w:r w:rsidR="00B11FCF" w:rsidRPr="00AF3FC8">
        <w:rPr>
          <w:rFonts w:ascii="Times" w:hAnsi="Times" w:cs="Times"/>
        </w:rPr>
        <w:t xml:space="preserve"> Indigenous/ First Nation </w:t>
      </w:r>
      <w:r w:rsidR="001B0674">
        <w:rPr>
          <w:rFonts w:ascii="Times" w:hAnsi="Times" w:cs="Times"/>
        </w:rPr>
        <w:t>patients), particularly after restrictions in the different analyses, may have limited our study power</w:t>
      </w:r>
      <w:r w:rsidR="00B11FCF" w:rsidRPr="00AF3FC8">
        <w:rPr>
          <w:rFonts w:ascii="Times" w:hAnsi="Times" w:cs="Times"/>
        </w:rPr>
        <w:t xml:space="preserve">. </w:t>
      </w:r>
      <w:r w:rsidR="001B0674">
        <w:rPr>
          <w:rFonts w:ascii="Times" w:hAnsi="Times" w:cs="Times"/>
        </w:rPr>
        <w:t xml:space="preserve">This </w:t>
      </w:r>
      <w:r w:rsidR="00C50FA9" w:rsidRPr="00AF3FC8">
        <w:rPr>
          <w:rFonts w:ascii="Times" w:hAnsi="Times" w:cs="Times"/>
        </w:rPr>
        <w:t xml:space="preserve">highlights the need for continued, expanded, and culturally-sensitive data collection within </w:t>
      </w:r>
      <w:r w:rsidR="001B0674">
        <w:rPr>
          <w:rFonts w:ascii="Times" w:hAnsi="Times" w:cs="Times"/>
        </w:rPr>
        <w:t xml:space="preserve">diverse minority </w:t>
      </w:r>
      <w:r w:rsidR="00C50FA9" w:rsidRPr="00AF3FC8">
        <w:rPr>
          <w:rFonts w:ascii="Times" w:hAnsi="Times" w:cs="Times"/>
        </w:rPr>
        <w:t>communities.</w:t>
      </w:r>
    </w:p>
    <w:p w14:paraId="3CADCE55" w14:textId="407A6091" w:rsidR="00786837" w:rsidRDefault="008A20ED" w:rsidP="00371ECB">
      <w:pPr>
        <w:pStyle w:val="NormalWeb"/>
        <w:spacing w:before="0" w:beforeAutospacing="0" w:after="0" w:afterAutospacing="0" w:line="480" w:lineRule="auto"/>
        <w:ind w:firstLine="720"/>
        <w:rPr>
          <w:rFonts w:ascii="Times" w:hAnsi="Times" w:cs="Times"/>
        </w:rPr>
      </w:pPr>
      <w:r>
        <w:rPr>
          <w:rFonts w:ascii="Times" w:hAnsi="Times" w:cs="Times"/>
        </w:rPr>
        <w:t xml:space="preserve">Another limitation is </w:t>
      </w:r>
      <w:r w:rsidR="00623220">
        <w:rPr>
          <w:rFonts w:ascii="Times" w:hAnsi="Times" w:cs="Times"/>
        </w:rPr>
        <w:t>the insufficient data on</w:t>
      </w:r>
      <w:r w:rsidR="000E0FD2">
        <w:rPr>
          <w:rFonts w:ascii="Times" w:hAnsi="Times" w:cs="Times"/>
        </w:rPr>
        <w:t xml:space="preserve"> </w:t>
      </w:r>
      <w:r w:rsidR="00057779">
        <w:rPr>
          <w:rFonts w:ascii="Times" w:hAnsi="Times" w:cs="Times"/>
        </w:rPr>
        <w:t xml:space="preserve">Asian subgroup specification </w:t>
      </w:r>
      <w:r>
        <w:rPr>
          <w:rFonts w:ascii="Times" w:hAnsi="Times" w:cs="Times"/>
        </w:rPr>
        <w:t>in the OB COAP dataset</w:t>
      </w:r>
      <w:r w:rsidR="00057779">
        <w:rPr>
          <w:rFonts w:ascii="Times" w:hAnsi="Times" w:cs="Times"/>
        </w:rPr>
        <w:t xml:space="preserve">. </w:t>
      </w:r>
      <w:r w:rsidR="00BC5181">
        <w:rPr>
          <w:rFonts w:ascii="Times" w:hAnsi="Times" w:cs="Times"/>
        </w:rPr>
        <w:t xml:space="preserve">For </w:t>
      </w:r>
      <w:r w:rsidR="002A3EF9">
        <w:rPr>
          <w:rFonts w:ascii="Times" w:hAnsi="Times" w:cs="Times"/>
        </w:rPr>
        <w:t>69.3% of patients who indicated Asian as their race</w:t>
      </w:r>
      <w:r w:rsidR="00BC5181">
        <w:rPr>
          <w:rFonts w:ascii="Times" w:hAnsi="Times" w:cs="Times"/>
        </w:rPr>
        <w:t xml:space="preserve">, further information regarding Asian subgroup was not available in the medical record </w:t>
      </w:r>
      <w:r w:rsidR="002A3EF9">
        <w:rPr>
          <w:rFonts w:ascii="Times" w:hAnsi="Times" w:cs="Times"/>
        </w:rPr>
        <w:t>(Table 4).</w:t>
      </w:r>
      <w:r w:rsidR="00057779">
        <w:rPr>
          <w:rFonts w:ascii="Times" w:hAnsi="Times" w:cs="Times"/>
        </w:rPr>
        <w:t xml:space="preserve"> </w:t>
      </w:r>
      <w:r w:rsidR="001B0674">
        <w:rPr>
          <w:rFonts w:ascii="Times" w:hAnsi="Times" w:cs="Times"/>
        </w:rPr>
        <w:t>Given p</w:t>
      </w:r>
      <w:r w:rsidR="00057779">
        <w:rPr>
          <w:rFonts w:ascii="Times" w:hAnsi="Times" w:cs="Times"/>
        </w:rPr>
        <w:t xml:space="preserve">revious </w:t>
      </w:r>
      <w:r w:rsidR="001B0674">
        <w:rPr>
          <w:rFonts w:ascii="Times" w:hAnsi="Times" w:cs="Times"/>
        </w:rPr>
        <w:t xml:space="preserve">reports </w:t>
      </w:r>
      <w:r w:rsidR="00057779">
        <w:rPr>
          <w:rFonts w:ascii="Times" w:hAnsi="Times" w:cs="Times"/>
        </w:rPr>
        <w:t>suggest</w:t>
      </w:r>
      <w:r w:rsidR="001B0674">
        <w:rPr>
          <w:rFonts w:ascii="Times" w:hAnsi="Times" w:cs="Times"/>
        </w:rPr>
        <w:t xml:space="preserve">ing variation in </w:t>
      </w:r>
      <w:r w:rsidR="00057779">
        <w:rPr>
          <w:rFonts w:ascii="Times" w:hAnsi="Times" w:cs="Times"/>
        </w:rPr>
        <w:t>adverse obstetric outcomes</w:t>
      </w:r>
      <w:r w:rsidR="004A6BE8">
        <w:rPr>
          <w:rFonts w:ascii="Times" w:hAnsi="Times" w:cs="Times"/>
        </w:rPr>
        <w:t xml:space="preserve"> </w:t>
      </w:r>
      <w:r w:rsidR="001B0674">
        <w:rPr>
          <w:rFonts w:ascii="Times" w:hAnsi="Times" w:cs="Times"/>
        </w:rPr>
        <w:t xml:space="preserve">among </w:t>
      </w:r>
      <w:r w:rsidR="002A3EF9">
        <w:rPr>
          <w:rFonts w:ascii="Times" w:hAnsi="Times" w:cs="Times"/>
        </w:rPr>
        <w:t>Asian subgroup</w:t>
      </w:r>
      <w:r w:rsidR="001B0674">
        <w:rPr>
          <w:rFonts w:ascii="Times" w:hAnsi="Times" w:cs="Times"/>
        </w:rPr>
        <w:t>s</w:t>
      </w:r>
      <w:r w:rsidR="00406B31">
        <w:rPr>
          <w:rFonts w:ascii="Times" w:hAnsi="Times" w:cs="Times"/>
        </w:rPr>
        <w:fldChar w:fldCharType="begin" w:fldLock="1"/>
      </w:r>
      <w:r w:rsidR="00DE08B1">
        <w:rPr>
          <w:rFonts w:ascii="Times" w:hAnsi="Times" w:cs="Times"/>
        </w:rPr>
        <w:instrText>ADDIN CSL_CITATION {"citationItems":[{"id":"ITEM-1","itemData":{"DOI":"10.1186/1471-2393-14-298","ISSN":"14712393","PMID":"25174436","abstract":"Background: Empirical evidence regarding maternal quality and safety outcomes across heterogeneous Asian and Pacific Islanders subgroups in the United States is limited, despite the importance of this topic to health disparities research and quality improvement efforts.Methods: Detailed discharge data from all Hawai'i childbirth hospitalizations (n = 75,725) from 2008 to 2012 were considered. Validated measures of maternal quality and safety were compared in descriptive and multivariable models across seven racial/ethnic groups: Filipino, Native Hawaiian, other Pacific Islander (e.g., Samoan, Tongan, Micronesian), Japanese, Chinese, white, and other race/ethnicity. Multivariable models adjusted for age group, payer, rural vs. urban hospital location, multiple gestation, and high-risk pregnancy.Results: Compared to whites, Japanese, Filipinos, and Other Pacific Islanders had significantly higher overall delivery complication rates while Native Hawaiians had significantly lower rates. Native Hawaiians also had significantly lower rates of obstetric trauma in vaginal delivery with and without instruments compared to whites (Rate Ratio (RR):0.66; 95% CI:0.50-0.87 and RR:0.62; 95% CI:0.52-0.74, respectively). Japanese and Chinese had significantly higher rates of obstetric trauma for vaginal deliveries without instruments (RR:1.52; 95% CI:1.27-1.81 and RR:1.95;95% CI:1.53-2.48, respectively) compared to whites, and Chinese also had significantly higher rates of birth trauma in vaginal delivery with instrument (RR 1.42; 95% CI:1.06-1.91). Filipinos and Other Pacific Islanders had significantly higher rates of Cesarean deliveries compared to whites (RR:1.15; 95% CI:1.11-1.20 and RR:1.16; 95% CI:1.10-1.22, respectively). Other Pacific Islanders also had significantly higher rates of vaginal births after Cesarean (VBAC) deliveries compared to whites (RR: 1.28; 95% CI:1.08-1.51) and Japanese had significantly lower rates of uncomplicated VBACs (RR:0.77; 95% CI:0.63-0.94).Conclusions: Significant variation was seen for Asian and Pacific Islander subgroups across maternal quality and safety outcomes. Notably, high rates of obstetric trauma were seen among Chinese and Japanese vaginal deliveries. Filipinos and other Pacific Islanders had high rates of Cesarean deliveries. Native Hawaiians had better quality and safety outcomes than whites on several quality and safety measures, including obstetric trauma during vaginal delivery. Other Pacific Islanders had high rate…","author":[{"dropping-particle":"","family":"Sentell","given":"Tetine","non-dropping-particle":"","parse-names":false,"suffix":""},{"dropping-particle":"","family":"Chang","given":"Ann","non-dropping-particle":"","parse-names":false,"suffix":""},{"dropping-particle":"","family":"Cheng","given":"Yongjun","non-dropping-particle":"","parse-names":false,"suffix":""},{"dropping-particle":"","family":"Miyamura","given":"Jill","non-dropping-particle":"","parse-names":false,"suffix":""}],"container-title":"BMC Pregnancy and Childbirth","id":"ITEM-1","issue":"1","issued":{"date-parts":[["2014","8","30"]]},"publisher":"BioMed Central Ltd.","title":"Maternal quality and safety outcomes for Asians and Pacific Islanders in Hawai'i: An observational study from five years of statewide data","type":"article-journal","volume":"14"},"uris":["http://www.mendeley.com/documents/?uuid=a7a85a41-9c8a-3a11-a066-9385ad4c6c09"]}],"mendeley":{"formattedCitation":"&lt;sup&gt;27&lt;/sup&gt;","plainTextFormattedCitation":"27","previouslyFormattedCitation":"&lt;sup&gt;27&lt;/sup&gt;"},"properties":{"noteIndex":0},"schema":"https://github.com/citation-style-language/schema/raw/master/csl-citation.json"}</w:instrText>
      </w:r>
      <w:r w:rsidR="00406B31">
        <w:rPr>
          <w:rFonts w:ascii="Times" w:hAnsi="Times" w:cs="Times"/>
        </w:rPr>
        <w:fldChar w:fldCharType="separate"/>
      </w:r>
      <w:r w:rsidR="00DE08B1" w:rsidRPr="00DE08B1">
        <w:rPr>
          <w:rFonts w:ascii="Times" w:hAnsi="Times" w:cs="Times"/>
          <w:noProof/>
          <w:vertAlign w:val="superscript"/>
        </w:rPr>
        <w:t>27</w:t>
      </w:r>
      <w:r w:rsidR="00406B31">
        <w:rPr>
          <w:rFonts w:ascii="Times" w:hAnsi="Times" w:cs="Times"/>
        </w:rPr>
        <w:fldChar w:fldCharType="end"/>
      </w:r>
      <w:r w:rsidR="001B0674">
        <w:rPr>
          <w:rFonts w:ascii="Times" w:hAnsi="Times" w:cs="Times"/>
        </w:rPr>
        <w:t xml:space="preserve">, </w:t>
      </w:r>
      <w:r w:rsidR="008D0F90">
        <w:rPr>
          <w:rFonts w:ascii="Times" w:hAnsi="Times" w:cs="Times"/>
        </w:rPr>
        <w:t xml:space="preserve">our </w:t>
      </w:r>
      <w:r w:rsidR="001B0674">
        <w:rPr>
          <w:rFonts w:ascii="Times" w:hAnsi="Times" w:cs="Times"/>
        </w:rPr>
        <w:t xml:space="preserve">findings related to NH Asian patients should be cautiously </w:t>
      </w:r>
      <w:r w:rsidR="00F5426C">
        <w:rPr>
          <w:rFonts w:ascii="Times" w:hAnsi="Times" w:cs="Times"/>
        </w:rPr>
        <w:t>generalized</w:t>
      </w:r>
      <w:r w:rsidR="001B0674">
        <w:rPr>
          <w:rFonts w:ascii="Times" w:hAnsi="Times" w:cs="Times"/>
        </w:rPr>
        <w:t xml:space="preserve">. </w:t>
      </w:r>
      <w:r w:rsidR="008D0F90">
        <w:rPr>
          <w:rFonts w:ascii="Times" w:hAnsi="Times" w:cs="Times"/>
        </w:rPr>
        <w:t xml:space="preserve">  </w:t>
      </w:r>
    </w:p>
    <w:p w14:paraId="406E3F26" w14:textId="6B7036F9" w:rsidR="00DD777C" w:rsidRDefault="00DD777C" w:rsidP="00DD777C">
      <w:pPr>
        <w:pStyle w:val="NormalWeb"/>
        <w:spacing w:before="0" w:beforeAutospacing="0" w:after="0" w:afterAutospacing="0" w:line="480" w:lineRule="auto"/>
        <w:ind w:firstLine="720"/>
        <w:rPr>
          <w:rFonts w:ascii="Times" w:hAnsi="Times" w:cs="Times"/>
        </w:rPr>
      </w:pPr>
      <w:r>
        <w:rPr>
          <w:rFonts w:ascii="Times" w:hAnsi="Times" w:cs="Times"/>
        </w:rPr>
        <w:t>Despite efforts to reduce racial/ ethnic disparities in the United States, adverse obstetric outcomes have remained substantially more common among non-White persons</w:t>
      </w:r>
      <w:r>
        <w:rPr>
          <w:rFonts w:ascii="Times" w:hAnsi="Times" w:cs="Times"/>
        </w:rPr>
        <w:fldChar w:fldCharType="begin" w:fldLock="1"/>
      </w:r>
      <w:r w:rsidR="00DE08B1">
        <w:rPr>
          <w:rFonts w:ascii="Times" w:hAnsi="Times" w:cs="Times"/>
        </w:rPr>
        <w:instrText>ADDIN CSL_CITATION {"citationItems":[{"id":"ITEM-1","itemData":{"DOI":"10.1016/j.ajog.2009.10.864","ISSN":"00029378","abstract":"Wide disparities in obstetric outcomes exist between women of different race/ethnicities. The prevalence of preterm birth, fetal growth restriction, fetal demise, maternal mortality, and inadequate receipt of prenatal care all vary by maternal race/ethnicity. These disparities have their roots in maternal health behaviors, genetics, the physical and social environments, and access to and quality of health care. Elimination of the health inequities because of sociocultural differences or access to or quality of health care will require a multidisciplinary approach. We aim to describe these obstetric disparities, with an eye toward potential etiologies, thereby improving our ability to target appropriate solutions. © 2010 Mosby, Inc. All rights reserved.","author":[{"dropping-particle":"","family":"Bryant","given":"Allison S.","non-dropping-particle":"","parse-names":false,"suffix":""},{"dropping-particle":"","family":"Worjoloh","given":"Ayaba","non-dropping-particle":"","parse-names":false,"suffix":""},{"dropping-particle":"","family":"Caughey","given":"Aaron B.","non-dropping-particle":"","parse-names":false,"suffix":""},{"dropping-particle":"","family":"Washington","given":"A. Eugene","non-dropping-particle":"","parse-names":false,"suffix":""}],"container-title":"American Journal of Obstetrics and Gynecology","id":"ITEM-1","issue":"4","issued":{"date-parts":[["2010","4"]]},"page":"335-343","publisher":"Am J Obstet Gynecol","title":"Racial/ethnic disparities in obstetric outcomes and care: prevalence and determinants","type":"article","volume":"202"},"uris":["http://www.mendeley.com/documents/?uuid=7ae78b12-6da6-3fd8-a43e-933f221c14a7"]},{"id":"ITEM-2","itemData":{"DOI":"10.1097/GRF.0000000000000349","ISSN":"1532-5520","PMID":"29346121","abstract":"Significant racial and ethnic disparities in maternal morbidity and mortality exist in the United States. Black women are 3 to 4 times more likely to die a pregnancy-related death as compared with white women. Growing research indicates that quality of health care, from preconception through postpartum care, may be a critical lever for improving outcomes for racial and ethnic minority women. This article reviews racial and ethnic disparities in severe maternal morbidities and mortality, underlying drivers of these disparities, and potential levers to reduce their occurrence.","author":[{"dropping-particle":"","family":"Howell","given":"Elizabeth A","non-dropping-particle":"","parse-names":false,"suffix":""}],"container-title":"Clinical obstetrics and gynecology","id":"ITEM-2","issue":"2","issued":{"date-parts":[["2018"]]},"page":"387-399","publisher":"Lippincott Williams and Wilkins","title":"Reducing Disparities in Severe Maternal Morbidity and Mortality.","type":"article-journal","volume":"61"},"uris":["http://www.mendeley.com/documents/?uuid=4feff4bf-4b32-38fe-8d85-f43566c151e1"]}],"mendeley":{"formattedCitation":"&lt;sup&gt;1,28&lt;/sup&gt;","plainTextFormattedCitation":"1,28","previouslyFormattedCitation":"&lt;sup&gt;1,28&lt;/sup&gt;"},"properties":{"noteIndex":0},"schema":"https://github.com/citation-style-language/schema/raw/master/csl-citation.json"}</w:instrText>
      </w:r>
      <w:r>
        <w:rPr>
          <w:rFonts w:ascii="Times" w:hAnsi="Times" w:cs="Times"/>
        </w:rPr>
        <w:fldChar w:fldCharType="separate"/>
      </w:r>
      <w:r w:rsidR="00DE08B1" w:rsidRPr="00DE08B1">
        <w:rPr>
          <w:rFonts w:ascii="Times" w:hAnsi="Times" w:cs="Times"/>
          <w:noProof/>
          <w:vertAlign w:val="superscript"/>
        </w:rPr>
        <w:t>1,28</w:t>
      </w:r>
      <w:r>
        <w:rPr>
          <w:rFonts w:ascii="Times" w:hAnsi="Times" w:cs="Times"/>
        </w:rPr>
        <w:fldChar w:fldCharType="end"/>
      </w:r>
      <w:r>
        <w:rPr>
          <w:rFonts w:ascii="Times" w:hAnsi="Times" w:cs="Times"/>
        </w:rPr>
        <w:t>. Evidence suggests interventions and efforts aimed at reducing these disparities will require a community-driven, multidisciplinary approach</w:t>
      </w:r>
      <w:r>
        <w:rPr>
          <w:rFonts w:ascii="Times" w:hAnsi="Times" w:cs="Times"/>
        </w:rPr>
        <w:fldChar w:fldCharType="begin" w:fldLock="1"/>
      </w:r>
      <w:r w:rsidR="00DE08B1">
        <w:rPr>
          <w:rFonts w:ascii="Times" w:hAnsi="Times" w:cs="Times"/>
        </w:rPr>
        <w:instrText>ADDIN CSL_CITATION {"citationItems":[{"id":"ITEM-1","itemData":{"ISSN":"0090-3159","PMID":"31673195","abstract":"file:///C:/Users/Marika/Desktop/università di pavia/articoli/strategie per l'infertilità/nihms964087.pdf","author":[{"dropping-particle":"","family":"Howell","given":"Elizabeth A","non-dropping-particle":"","parse-names":false,"suffix":""},{"dropping-particle":"","family":"Ahmed","given":"Zainab N","non-dropping-particle":"","parse-names":false,"suffix":""}],"container-title":"Contemporary ob/gyn","id":"ITEM-1","issue":"1","issued":{"date-parts":[["2019","1"]]},"page":"30-36","publisher":"NIH Public Access","title":"Eight steps for narrowing the maternal health disparity gap: Step-by-step plan to reduce racial and ethnic disparities in care.","type":"article-journal","volume":"64"},"uris":["http://www.mendeley.com/documents/?uuid=afab08fc-4205-3da4-bd3e-7c1e0e73c197"]},{"id":"ITEM-2","itemData":{"DOI":"10.1097/GRF.0000000000000349","ISSN":"1532-5520","PMID":"29346121","abstract":"Significant racial and ethnic disparities in maternal morbidity and mortality exist in the United States. Black women are 3 to 4 times more likely to die a pregnancy-related death as compared with white women. Growing research indicates that quality of health care, from preconception through postpartum care, may be a critical lever for improving outcomes for racial and ethnic minority women. This article reviews racial and ethnic disparities in severe maternal morbidities and mortality, underlying drivers of these disparities, and potential levers to reduce their occurrence.","author":[{"dropping-particle":"","family":"Howell","given":"Elizabeth A","non-dropping-particle":"","parse-names":false,"suffix":""}],"container-title":"Clinical obstetrics and gynecology","id":"ITEM-2","issue":"2","issued":{"date-parts":[["2018"]]},"page":"387-399","publisher":"Lippincott Williams and Wilkins","title":"Reducing Disparities in Severe Maternal Morbidity and Mortality.","type":"article-journal","volume":"61"},"uris":["http://www.mendeley.com/documents/?uuid=4feff4bf-4b32-38fe-8d85-f43566c151e1"]}],"mendeley":{"formattedCitation":"&lt;sup&gt;28,29&lt;/sup&gt;","plainTextFormattedCitation":"28,29","previouslyFormattedCitation":"&lt;sup&gt;28,29&lt;/sup&gt;"},"properties":{"noteIndex":0},"schema":"https://github.com/citation-style-language/schema/raw/master/csl-citation.json"}</w:instrText>
      </w:r>
      <w:r>
        <w:rPr>
          <w:rFonts w:ascii="Times" w:hAnsi="Times" w:cs="Times"/>
        </w:rPr>
        <w:fldChar w:fldCharType="separate"/>
      </w:r>
      <w:r w:rsidR="00DE08B1" w:rsidRPr="00DE08B1">
        <w:rPr>
          <w:rFonts w:ascii="Times" w:hAnsi="Times" w:cs="Times"/>
          <w:noProof/>
          <w:vertAlign w:val="superscript"/>
        </w:rPr>
        <w:t>28,29</w:t>
      </w:r>
      <w:r>
        <w:rPr>
          <w:rFonts w:ascii="Times" w:hAnsi="Times" w:cs="Times"/>
        </w:rPr>
        <w:fldChar w:fldCharType="end"/>
      </w:r>
      <w:r>
        <w:rPr>
          <w:rFonts w:ascii="Times" w:hAnsi="Times" w:cs="Times"/>
        </w:rPr>
        <w:t xml:space="preserve">. Future research should assess process and treatment measures prospectively in order to better clarify the relationship between race/ ethnicity and several process measures of interest. </w:t>
      </w:r>
    </w:p>
    <w:p w14:paraId="4142DBE5" w14:textId="4D6F31C2" w:rsidR="00DD777C" w:rsidRDefault="00DD777C" w:rsidP="00DD777C">
      <w:pPr>
        <w:pStyle w:val="NormalWeb"/>
        <w:spacing w:before="0" w:beforeAutospacing="0" w:after="0" w:afterAutospacing="0" w:line="480" w:lineRule="auto"/>
        <w:ind w:firstLine="720"/>
        <w:rPr>
          <w:rFonts w:ascii="Times" w:hAnsi="Times" w:cs="Times"/>
        </w:rPr>
      </w:pPr>
      <w:r w:rsidRPr="00DD777C">
        <w:rPr>
          <w:rFonts w:ascii="Times" w:hAnsi="Times" w:cs="Times"/>
        </w:rPr>
        <w:t>While the conclusions in the current study were general</w:t>
      </w:r>
      <w:r>
        <w:rPr>
          <w:rFonts w:ascii="Times" w:hAnsi="Times" w:cs="Times"/>
        </w:rPr>
        <w:t>ly</w:t>
      </w:r>
      <w:r w:rsidRPr="00DD777C">
        <w:rPr>
          <w:rFonts w:ascii="Times" w:hAnsi="Times" w:cs="Times"/>
        </w:rPr>
        <w:t xml:space="preserve"> aligned with most previous research reports, several of the estimates differed from estimates reported by studies conducted in other regions, suggesting</w:t>
      </w:r>
      <w:r>
        <w:rPr>
          <w:rFonts w:ascii="Times" w:hAnsi="Times" w:cs="Times"/>
        </w:rPr>
        <w:t xml:space="preserve"> there may be</w:t>
      </w:r>
      <w:r w:rsidRPr="00DD777C">
        <w:rPr>
          <w:rFonts w:ascii="Times" w:hAnsi="Times" w:cs="Times"/>
        </w:rPr>
        <w:t xml:space="preserve"> differences in magnitude of racial and ethnic disparities in obstetric outcomes across regions.</w:t>
      </w:r>
      <w:r>
        <w:rPr>
          <w:rFonts w:ascii="Times" w:hAnsi="Times" w:cs="Times"/>
        </w:rPr>
        <w:t xml:space="preserve"> </w:t>
      </w:r>
      <w:r w:rsidR="00F5426C">
        <w:rPr>
          <w:rFonts w:ascii="Times" w:hAnsi="Times" w:cs="Times"/>
        </w:rPr>
        <w:t>The current</w:t>
      </w:r>
      <w:r w:rsidRPr="00DD777C">
        <w:rPr>
          <w:rFonts w:ascii="Times" w:hAnsi="Times" w:cs="Times"/>
        </w:rPr>
        <w:t xml:space="preserve"> study </w:t>
      </w:r>
      <w:r w:rsidR="006660C9" w:rsidRPr="00DD777C">
        <w:rPr>
          <w:rFonts w:ascii="Times" w:hAnsi="Times" w:cs="Times"/>
        </w:rPr>
        <w:t>provid</w:t>
      </w:r>
      <w:r w:rsidR="006660C9">
        <w:rPr>
          <w:rFonts w:ascii="Times" w:hAnsi="Times" w:cs="Times"/>
        </w:rPr>
        <w:t>es</w:t>
      </w:r>
      <w:r w:rsidRPr="00DD777C">
        <w:rPr>
          <w:rFonts w:ascii="Times" w:hAnsi="Times" w:cs="Times"/>
        </w:rPr>
        <w:t xml:space="preserve"> a recent and comprehensive assessment of racial/ethnic disparities in obstetrics outcomes and process measures in the Northwest, United States. This knowledge </w:t>
      </w:r>
      <w:r w:rsidR="00F5426C">
        <w:rPr>
          <w:rFonts w:ascii="Times" w:hAnsi="Times" w:cs="Times"/>
        </w:rPr>
        <w:t>can</w:t>
      </w:r>
      <w:r w:rsidR="00F5426C" w:rsidRPr="00DD777C">
        <w:rPr>
          <w:rFonts w:ascii="Times" w:hAnsi="Times" w:cs="Times"/>
        </w:rPr>
        <w:t xml:space="preserve"> </w:t>
      </w:r>
      <w:r w:rsidRPr="00DD777C">
        <w:rPr>
          <w:rFonts w:ascii="Times" w:hAnsi="Times" w:cs="Times"/>
        </w:rPr>
        <w:t>inform the design and implementation of region-specific intervention strategies</w:t>
      </w:r>
      <w:r w:rsidR="00F5426C">
        <w:rPr>
          <w:rFonts w:ascii="Times" w:hAnsi="Times" w:cs="Times"/>
        </w:rPr>
        <w:t xml:space="preserve"> to improve obstetric outcomes</w:t>
      </w:r>
      <w:r w:rsidRPr="00DD777C">
        <w:rPr>
          <w:rFonts w:ascii="Times" w:hAnsi="Times" w:cs="Times"/>
        </w:rPr>
        <w:t>.</w:t>
      </w:r>
    </w:p>
    <w:p w14:paraId="7E3AD0D8" w14:textId="316AD92B" w:rsidR="009E74EB" w:rsidRDefault="009E74EB" w:rsidP="00057779">
      <w:pPr>
        <w:pStyle w:val="NormalWeb"/>
        <w:spacing w:before="0" w:beforeAutospacing="0" w:after="0" w:afterAutospacing="0"/>
        <w:rPr>
          <w:rFonts w:ascii="Times" w:hAnsi="Times" w:cs="Times"/>
        </w:rPr>
      </w:pPr>
    </w:p>
    <w:p w14:paraId="6B1A1345" w14:textId="77777777" w:rsidR="009E74EB" w:rsidRDefault="009E74EB" w:rsidP="00057779">
      <w:pPr>
        <w:pStyle w:val="NormalWeb"/>
        <w:spacing w:before="0" w:beforeAutospacing="0" w:after="0" w:afterAutospacing="0"/>
        <w:rPr>
          <w:rFonts w:ascii="Times" w:hAnsi="Times" w:cs="Times"/>
        </w:rPr>
      </w:pPr>
    </w:p>
    <w:p w14:paraId="16C9AA6C" w14:textId="77777777" w:rsidR="00E26CD2" w:rsidRDefault="00E26CD2" w:rsidP="00057779">
      <w:pPr>
        <w:pStyle w:val="NormalWeb"/>
        <w:spacing w:before="0" w:beforeAutospacing="0" w:after="0" w:afterAutospacing="0"/>
        <w:rPr>
          <w:rFonts w:ascii="Times" w:hAnsi="Times" w:cs="Times"/>
          <w:b/>
          <w:bCs/>
          <w:sz w:val="22"/>
          <w:szCs w:val="22"/>
        </w:rPr>
        <w:sectPr w:rsidR="00E26CD2" w:rsidSect="006F7C19">
          <w:headerReference w:type="default" r:id="rId11"/>
          <w:footerReference w:type="even" r:id="rId12"/>
          <w:footerReference w:type="default" r:id="rId13"/>
          <w:pgSz w:w="12240" w:h="15840"/>
          <w:pgMar w:top="1440" w:right="1440" w:bottom="1440" w:left="1440" w:header="576" w:footer="720" w:gutter="0"/>
          <w:cols w:space="720"/>
          <w:docGrid w:linePitch="360"/>
        </w:sectPr>
      </w:pPr>
    </w:p>
    <w:p w14:paraId="22117D77" w14:textId="5DFEE5FB" w:rsidR="001C1FF2" w:rsidRPr="005337CB" w:rsidRDefault="00206857" w:rsidP="00057779">
      <w:pPr>
        <w:pStyle w:val="NormalWeb"/>
        <w:spacing w:before="0" w:beforeAutospacing="0" w:after="0" w:afterAutospacing="0"/>
        <w:rPr>
          <w:rFonts w:ascii="Times" w:hAnsi="Times" w:cs="Times"/>
          <w:b/>
          <w:bCs/>
          <w:sz w:val="22"/>
          <w:szCs w:val="22"/>
        </w:rPr>
      </w:pPr>
      <w:r w:rsidRPr="00FC1537">
        <w:rPr>
          <w:rFonts w:ascii="Times" w:hAnsi="Times" w:cs="Times"/>
          <w:b/>
          <w:bCs/>
          <w:sz w:val="22"/>
          <w:szCs w:val="22"/>
        </w:rPr>
        <w:t xml:space="preserve">Table 1: Study Population Characteristics by </w:t>
      </w:r>
      <w:r w:rsidR="004C03CF" w:rsidRPr="00FC1537">
        <w:rPr>
          <w:rFonts w:ascii="Times" w:hAnsi="Times" w:cs="Times"/>
          <w:b/>
          <w:bCs/>
          <w:sz w:val="22"/>
          <w:szCs w:val="22"/>
        </w:rPr>
        <w:t xml:space="preserve">Self-Reported </w:t>
      </w:r>
      <w:r w:rsidR="008D325A" w:rsidRPr="00FC1537">
        <w:rPr>
          <w:rFonts w:ascii="Times" w:hAnsi="Times" w:cs="Times"/>
          <w:b/>
          <w:bCs/>
          <w:sz w:val="22"/>
          <w:szCs w:val="22"/>
        </w:rPr>
        <w:t>Race/ Ethnicity</w:t>
      </w:r>
    </w:p>
    <w:tbl>
      <w:tblPr>
        <w:tblW w:w="11280" w:type="dxa"/>
        <w:tblLook w:val="04A0" w:firstRow="1" w:lastRow="0" w:firstColumn="1" w:lastColumn="0" w:noHBand="0" w:noVBand="1"/>
      </w:tblPr>
      <w:tblGrid>
        <w:gridCol w:w="1459"/>
        <w:gridCol w:w="1026"/>
        <w:gridCol w:w="1026"/>
        <w:gridCol w:w="1044"/>
        <w:gridCol w:w="1045"/>
        <w:gridCol w:w="1042"/>
        <w:gridCol w:w="1052"/>
        <w:gridCol w:w="1038"/>
        <w:gridCol w:w="1026"/>
        <w:gridCol w:w="1300"/>
        <w:gridCol w:w="222"/>
      </w:tblGrid>
      <w:tr w:rsidR="00C0369A" w:rsidRPr="00C0369A" w14:paraId="6DD98AE3" w14:textId="77777777" w:rsidTr="00C0369A">
        <w:trPr>
          <w:gridAfter w:val="1"/>
          <w:wAfter w:w="36" w:type="dxa"/>
          <w:trHeight w:val="480"/>
        </w:trPr>
        <w:tc>
          <w:tcPr>
            <w:tcW w:w="1494" w:type="dxa"/>
            <w:vMerge w:val="restart"/>
            <w:tcBorders>
              <w:top w:val="single" w:sz="4" w:space="0" w:color="auto"/>
              <w:left w:val="single" w:sz="4" w:space="0" w:color="auto"/>
              <w:bottom w:val="single" w:sz="4" w:space="0" w:color="000000"/>
              <w:right w:val="nil"/>
            </w:tcBorders>
            <w:shd w:val="clear" w:color="auto" w:fill="auto"/>
            <w:vAlign w:val="center"/>
            <w:hideMark/>
          </w:tcPr>
          <w:p w14:paraId="32E79FC6"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 </w:t>
            </w:r>
          </w:p>
        </w:tc>
        <w:tc>
          <w:tcPr>
            <w:tcW w:w="1055" w:type="dxa"/>
            <w:vMerge w:val="restart"/>
            <w:tcBorders>
              <w:top w:val="single" w:sz="4" w:space="0" w:color="auto"/>
              <w:left w:val="nil"/>
              <w:bottom w:val="single" w:sz="4" w:space="0" w:color="000000"/>
              <w:right w:val="nil"/>
            </w:tcBorders>
            <w:shd w:val="clear" w:color="auto" w:fill="auto"/>
            <w:vAlign w:val="center"/>
            <w:hideMark/>
          </w:tcPr>
          <w:p w14:paraId="7AE93A61" w14:textId="77777777" w:rsidR="00C0369A" w:rsidRPr="00C0369A" w:rsidRDefault="00C0369A" w:rsidP="00C0369A">
            <w:pPr>
              <w:jc w:val="center"/>
              <w:rPr>
                <w:rFonts w:ascii="Times" w:hAnsi="Times" w:cs="Calibri"/>
                <w:b/>
                <w:bCs/>
                <w:color w:val="000000"/>
                <w:sz w:val="15"/>
                <w:szCs w:val="15"/>
              </w:rPr>
            </w:pPr>
            <w:r w:rsidRPr="00C0369A">
              <w:rPr>
                <w:rFonts w:ascii="Times" w:hAnsi="Times" w:cs="Calibri"/>
                <w:b/>
                <w:bCs/>
                <w:color w:val="000000"/>
                <w:sz w:val="15"/>
                <w:szCs w:val="15"/>
              </w:rPr>
              <w:t>NH White</w:t>
            </w:r>
          </w:p>
        </w:tc>
        <w:tc>
          <w:tcPr>
            <w:tcW w:w="1055" w:type="dxa"/>
            <w:vMerge w:val="restart"/>
            <w:tcBorders>
              <w:top w:val="single" w:sz="4" w:space="0" w:color="auto"/>
              <w:left w:val="nil"/>
              <w:bottom w:val="single" w:sz="4" w:space="0" w:color="000000"/>
              <w:right w:val="nil"/>
            </w:tcBorders>
            <w:shd w:val="clear" w:color="auto" w:fill="auto"/>
            <w:vAlign w:val="center"/>
            <w:hideMark/>
          </w:tcPr>
          <w:p w14:paraId="60719811" w14:textId="77777777" w:rsidR="00C0369A" w:rsidRPr="00C0369A" w:rsidRDefault="00C0369A" w:rsidP="00C0369A">
            <w:pPr>
              <w:jc w:val="center"/>
              <w:rPr>
                <w:rFonts w:ascii="Times" w:hAnsi="Times" w:cs="Calibri"/>
                <w:b/>
                <w:bCs/>
                <w:color w:val="000000"/>
                <w:sz w:val="15"/>
                <w:szCs w:val="15"/>
              </w:rPr>
            </w:pPr>
            <w:r w:rsidRPr="00C0369A">
              <w:rPr>
                <w:rFonts w:ascii="Times" w:hAnsi="Times" w:cs="Calibri"/>
                <w:b/>
                <w:bCs/>
                <w:color w:val="000000"/>
                <w:sz w:val="15"/>
                <w:szCs w:val="15"/>
              </w:rPr>
              <w:t>NH Asian</w:t>
            </w:r>
          </w:p>
        </w:tc>
        <w:tc>
          <w:tcPr>
            <w:tcW w:w="1057" w:type="dxa"/>
            <w:vMerge w:val="restart"/>
            <w:tcBorders>
              <w:top w:val="single" w:sz="4" w:space="0" w:color="auto"/>
              <w:left w:val="nil"/>
              <w:bottom w:val="single" w:sz="4" w:space="0" w:color="000000"/>
              <w:right w:val="nil"/>
            </w:tcBorders>
            <w:shd w:val="clear" w:color="auto" w:fill="auto"/>
            <w:vAlign w:val="center"/>
            <w:hideMark/>
          </w:tcPr>
          <w:p w14:paraId="00E3B5B2" w14:textId="77777777" w:rsidR="00C0369A" w:rsidRPr="00C0369A" w:rsidRDefault="00C0369A" w:rsidP="00C0369A">
            <w:pPr>
              <w:jc w:val="center"/>
              <w:rPr>
                <w:rFonts w:ascii="Times" w:hAnsi="Times" w:cs="Calibri"/>
                <w:b/>
                <w:bCs/>
                <w:color w:val="000000"/>
                <w:sz w:val="15"/>
                <w:szCs w:val="15"/>
              </w:rPr>
            </w:pPr>
            <w:r w:rsidRPr="00C0369A">
              <w:rPr>
                <w:rFonts w:ascii="Times" w:hAnsi="Times" w:cs="Calibri"/>
                <w:b/>
                <w:bCs/>
                <w:color w:val="000000"/>
                <w:sz w:val="15"/>
                <w:szCs w:val="15"/>
              </w:rPr>
              <w:t>NH Black/ African American</w:t>
            </w:r>
          </w:p>
        </w:tc>
        <w:tc>
          <w:tcPr>
            <w:tcW w:w="1057" w:type="dxa"/>
            <w:vMerge w:val="restart"/>
            <w:tcBorders>
              <w:top w:val="single" w:sz="4" w:space="0" w:color="auto"/>
              <w:left w:val="nil"/>
              <w:bottom w:val="single" w:sz="4" w:space="0" w:color="000000"/>
              <w:right w:val="nil"/>
            </w:tcBorders>
            <w:shd w:val="clear" w:color="auto" w:fill="auto"/>
            <w:vAlign w:val="center"/>
            <w:hideMark/>
          </w:tcPr>
          <w:p w14:paraId="3ABE2842" w14:textId="77777777" w:rsidR="00C0369A" w:rsidRPr="00C0369A" w:rsidRDefault="00C0369A" w:rsidP="00C0369A">
            <w:pPr>
              <w:jc w:val="center"/>
              <w:rPr>
                <w:rFonts w:ascii="Times" w:hAnsi="Times" w:cs="Calibri"/>
                <w:b/>
                <w:bCs/>
                <w:color w:val="000000"/>
                <w:sz w:val="15"/>
                <w:szCs w:val="15"/>
              </w:rPr>
            </w:pPr>
            <w:r w:rsidRPr="00C0369A">
              <w:rPr>
                <w:rFonts w:ascii="Times" w:hAnsi="Times" w:cs="Calibri"/>
                <w:b/>
                <w:bCs/>
                <w:color w:val="000000"/>
                <w:sz w:val="15"/>
                <w:szCs w:val="15"/>
              </w:rPr>
              <w:t>NH Hawaiian/ Pacific Islander</w:t>
            </w:r>
          </w:p>
        </w:tc>
        <w:tc>
          <w:tcPr>
            <w:tcW w:w="1057" w:type="dxa"/>
            <w:vMerge w:val="restart"/>
            <w:tcBorders>
              <w:top w:val="single" w:sz="4" w:space="0" w:color="auto"/>
              <w:left w:val="nil"/>
              <w:bottom w:val="single" w:sz="4" w:space="0" w:color="000000"/>
              <w:right w:val="nil"/>
            </w:tcBorders>
            <w:shd w:val="clear" w:color="auto" w:fill="auto"/>
            <w:vAlign w:val="center"/>
            <w:hideMark/>
          </w:tcPr>
          <w:p w14:paraId="2C1B4777" w14:textId="77777777" w:rsidR="00C0369A" w:rsidRPr="00C0369A" w:rsidRDefault="00C0369A" w:rsidP="00C0369A">
            <w:pPr>
              <w:jc w:val="center"/>
              <w:rPr>
                <w:rFonts w:ascii="Times" w:hAnsi="Times" w:cs="Calibri"/>
                <w:b/>
                <w:bCs/>
                <w:color w:val="000000"/>
                <w:sz w:val="15"/>
                <w:szCs w:val="15"/>
              </w:rPr>
            </w:pPr>
            <w:r w:rsidRPr="00C0369A">
              <w:rPr>
                <w:rFonts w:ascii="Times" w:hAnsi="Times" w:cs="Calibri"/>
                <w:b/>
                <w:bCs/>
                <w:color w:val="000000"/>
                <w:sz w:val="15"/>
                <w:szCs w:val="15"/>
              </w:rPr>
              <w:t>Hispanic/ Latinx</w:t>
            </w:r>
          </w:p>
        </w:tc>
        <w:tc>
          <w:tcPr>
            <w:tcW w:w="1058" w:type="dxa"/>
            <w:vMerge w:val="restart"/>
            <w:tcBorders>
              <w:top w:val="single" w:sz="4" w:space="0" w:color="auto"/>
              <w:left w:val="nil"/>
              <w:bottom w:val="single" w:sz="4" w:space="0" w:color="000000"/>
              <w:right w:val="nil"/>
            </w:tcBorders>
            <w:shd w:val="clear" w:color="auto" w:fill="auto"/>
            <w:vAlign w:val="center"/>
            <w:hideMark/>
          </w:tcPr>
          <w:p w14:paraId="2D917D38" w14:textId="77777777" w:rsidR="00C0369A" w:rsidRPr="00C0369A" w:rsidRDefault="00C0369A" w:rsidP="00C0369A">
            <w:pPr>
              <w:jc w:val="center"/>
              <w:rPr>
                <w:rFonts w:ascii="Times" w:hAnsi="Times" w:cs="Calibri"/>
                <w:b/>
                <w:bCs/>
                <w:color w:val="000000"/>
                <w:sz w:val="15"/>
                <w:szCs w:val="15"/>
              </w:rPr>
            </w:pPr>
            <w:r w:rsidRPr="00C0369A">
              <w:rPr>
                <w:rFonts w:ascii="Times" w:hAnsi="Times" w:cs="Calibri"/>
                <w:b/>
                <w:bCs/>
                <w:color w:val="000000"/>
                <w:sz w:val="15"/>
                <w:szCs w:val="15"/>
              </w:rPr>
              <w:t>NH Indigenous/ First Persons</w:t>
            </w:r>
          </w:p>
        </w:tc>
        <w:tc>
          <w:tcPr>
            <w:tcW w:w="1056" w:type="dxa"/>
            <w:vMerge w:val="restart"/>
            <w:tcBorders>
              <w:top w:val="single" w:sz="4" w:space="0" w:color="auto"/>
              <w:left w:val="nil"/>
              <w:bottom w:val="single" w:sz="4" w:space="0" w:color="000000"/>
              <w:right w:val="nil"/>
            </w:tcBorders>
            <w:shd w:val="clear" w:color="auto" w:fill="auto"/>
            <w:vAlign w:val="center"/>
            <w:hideMark/>
          </w:tcPr>
          <w:p w14:paraId="417D90C8" w14:textId="77777777" w:rsidR="00C0369A" w:rsidRPr="00C0369A" w:rsidRDefault="00C0369A" w:rsidP="00C0369A">
            <w:pPr>
              <w:jc w:val="center"/>
              <w:rPr>
                <w:rFonts w:ascii="Times" w:hAnsi="Times" w:cs="Calibri"/>
                <w:b/>
                <w:bCs/>
                <w:color w:val="000000"/>
                <w:sz w:val="15"/>
                <w:szCs w:val="15"/>
              </w:rPr>
            </w:pPr>
            <w:r w:rsidRPr="00C0369A">
              <w:rPr>
                <w:rFonts w:ascii="Times" w:hAnsi="Times" w:cs="Calibri"/>
                <w:b/>
                <w:bCs/>
                <w:color w:val="000000"/>
                <w:sz w:val="15"/>
                <w:szCs w:val="15"/>
              </w:rPr>
              <w:t>NH Multiple Race</w:t>
            </w:r>
          </w:p>
        </w:tc>
        <w:tc>
          <w:tcPr>
            <w:tcW w:w="1055" w:type="dxa"/>
            <w:vMerge w:val="restart"/>
            <w:tcBorders>
              <w:top w:val="single" w:sz="4" w:space="0" w:color="auto"/>
              <w:left w:val="nil"/>
              <w:bottom w:val="single" w:sz="4" w:space="0" w:color="000000"/>
              <w:right w:val="nil"/>
            </w:tcBorders>
            <w:shd w:val="clear" w:color="auto" w:fill="auto"/>
            <w:vAlign w:val="center"/>
            <w:hideMark/>
          </w:tcPr>
          <w:p w14:paraId="09280E6B" w14:textId="77777777" w:rsidR="00C0369A" w:rsidRPr="00C0369A" w:rsidRDefault="00C0369A" w:rsidP="00C0369A">
            <w:pPr>
              <w:jc w:val="center"/>
              <w:rPr>
                <w:rFonts w:ascii="Times" w:hAnsi="Times" w:cs="Calibri"/>
                <w:b/>
                <w:bCs/>
                <w:color w:val="000000"/>
                <w:sz w:val="15"/>
                <w:szCs w:val="15"/>
              </w:rPr>
            </w:pPr>
            <w:r w:rsidRPr="00C0369A">
              <w:rPr>
                <w:rFonts w:ascii="Times" w:hAnsi="Times" w:cs="Calibri"/>
                <w:b/>
                <w:bCs/>
                <w:color w:val="000000"/>
                <w:sz w:val="15"/>
                <w:szCs w:val="15"/>
              </w:rPr>
              <w:t>NH Other</w:t>
            </w:r>
          </w:p>
        </w:tc>
        <w:tc>
          <w:tcPr>
            <w:tcW w:w="1300" w:type="dxa"/>
            <w:vMerge w:val="restart"/>
            <w:tcBorders>
              <w:top w:val="single" w:sz="4" w:space="0" w:color="auto"/>
              <w:left w:val="nil"/>
              <w:bottom w:val="nil"/>
              <w:right w:val="single" w:sz="4" w:space="0" w:color="auto"/>
            </w:tcBorders>
            <w:shd w:val="clear" w:color="auto" w:fill="auto"/>
            <w:noWrap/>
            <w:vAlign w:val="center"/>
            <w:hideMark/>
          </w:tcPr>
          <w:p w14:paraId="60BDD677" w14:textId="77777777" w:rsidR="00C0369A" w:rsidRPr="00C0369A" w:rsidRDefault="00C0369A" w:rsidP="00C0369A">
            <w:pPr>
              <w:jc w:val="center"/>
              <w:rPr>
                <w:rFonts w:ascii="Times Roman" w:hAnsi="Times Roman" w:cs="Calibri"/>
                <w:b/>
                <w:bCs/>
                <w:color w:val="000000"/>
                <w:sz w:val="15"/>
                <w:szCs w:val="15"/>
              </w:rPr>
            </w:pPr>
            <w:r w:rsidRPr="00C0369A">
              <w:rPr>
                <w:rFonts w:ascii="Times Roman" w:hAnsi="Times Roman" w:cs="Calibri"/>
                <w:b/>
                <w:bCs/>
                <w:color w:val="000000"/>
                <w:sz w:val="15"/>
                <w:szCs w:val="15"/>
              </w:rPr>
              <w:t>P-value*</w:t>
            </w:r>
          </w:p>
        </w:tc>
      </w:tr>
      <w:tr w:rsidR="00C0369A" w:rsidRPr="00C0369A" w14:paraId="60A49F21" w14:textId="77777777" w:rsidTr="00C0369A">
        <w:trPr>
          <w:trHeight w:val="320"/>
        </w:trPr>
        <w:tc>
          <w:tcPr>
            <w:tcW w:w="1494" w:type="dxa"/>
            <w:vMerge/>
            <w:tcBorders>
              <w:top w:val="single" w:sz="4" w:space="0" w:color="auto"/>
              <w:left w:val="single" w:sz="4" w:space="0" w:color="auto"/>
              <w:bottom w:val="single" w:sz="4" w:space="0" w:color="000000"/>
              <w:right w:val="nil"/>
            </w:tcBorders>
            <w:vAlign w:val="center"/>
            <w:hideMark/>
          </w:tcPr>
          <w:p w14:paraId="4DB229BD" w14:textId="77777777" w:rsidR="00C0369A" w:rsidRPr="00C0369A" w:rsidRDefault="00C0369A" w:rsidP="00C0369A">
            <w:pPr>
              <w:rPr>
                <w:rFonts w:ascii="Times" w:hAnsi="Times" w:cs="Calibri"/>
                <w:color w:val="000000"/>
                <w:sz w:val="15"/>
                <w:szCs w:val="15"/>
              </w:rPr>
            </w:pPr>
          </w:p>
        </w:tc>
        <w:tc>
          <w:tcPr>
            <w:tcW w:w="1055" w:type="dxa"/>
            <w:vMerge/>
            <w:tcBorders>
              <w:top w:val="single" w:sz="4" w:space="0" w:color="auto"/>
              <w:left w:val="nil"/>
              <w:bottom w:val="single" w:sz="4" w:space="0" w:color="000000"/>
              <w:right w:val="nil"/>
            </w:tcBorders>
            <w:vAlign w:val="center"/>
            <w:hideMark/>
          </w:tcPr>
          <w:p w14:paraId="46F81A7E" w14:textId="77777777" w:rsidR="00C0369A" w:rsidRPr="00C0369A" w:rsidRDefault="00C0369A" w:rsidP="00C0369A">
            <w:pPr>
              <w:rPr>
                <w:rFonts w:ascii="Times" w:hAnsi="Times" w:cs="Calibri"/>
                <w:b/>
                <w:bCs/>
                <w:color w:val="000000"/>
                <w:sz w:val="15"/>
                <w:szCs w:val="15"/>
              </w:rPr>
            </w:pPr>
          </w:p>
        </w:tc>
        <w:tc>
          <w:tcPr>
            <w:tcW w:w="1055" w:type="dxa"/>
            <w:vMerge/>
            <w:tcBorders>
              <w:top w:val="single" w:sz="4" w:space="0" w:color="auto"/>
              <w:left w:val="nil"/>
              <w:bottom w:val="single" w:sz="4" w:space="0" w:color="000000"/>
              <w:right w:val="nil"/>
            </w:tcBorders>
            <w:vAlign w:val="center"/>
            <w:hideMark/>
          </w:tcPr>
          <w:p w14:paraId="371D1DA7" w14:textId="77777777" w:rsidR="00C0369A" w:rsidRPr="00C0369A" w:rsidRDefault="00C0369A" w:rsidP="00C0369A">
            <w:pPr>
              <w:rPr>
                <w:rFonts w:ascii="Times" w:hAnsi="Times" w:cs="Calibri"/>
                <w:b/>
                <w:bCs/>
                <w:color w:val="000000"/>
                <w:sz w:val="15"/>
                <w:szCs w:val="15"/>
              </w:rPr>
            </w:pPr>
          </w:p>
        </w:tc>
        <w:tc>
          <w:tcPr>
            <w:tcW w:w="1057" w:type="dxa"/>
            <w:vMerge/>
            <w:tcBorders>
              <w:top w:val="single" w:sz="4" w:space="0" w:color="auto"/>
              <w:left w:val="nil"/>
              <w:bottom w:val="single" w:sz="4" w:space="0" w:color="000000"/>
              <w:right w:val="nil"/>
            </w:tcBorders>
            <w:vAlign w:val="center"/>
            <w:hideMark/>
          </w:tcPr>
          <w:p w14:paraId="73076D40" w14:textId="77777777" w:rsidR="00C0369A" w:rsidRPr="00C0369A" w:rsidRDefault="00C0369A" w:rsidP="00C0369A">
            <w:pPr>
              <w:rPr>
                <w:rFonts w:ascii="Times" w:hAnsi="Times" w:cs="Calibri"/>
                <w:b/>
                <w:bCs/>
                <w:color w:val="000000"/>
                <w:sz w:val="15"/>
                <w:szCs w:val="15"/>
              </w:rPr>
            </w:pPr>
          </w:p>
        </w:tc>
        <w:tc>
          <w:tcPr>
            <w:tcW w:w="1057" w:type="dxa"/>
            <w:vMerge/>
            <w:tcBorders>
              <w:top w:val="single" w:sz="4" w:space="0" w:color="auto"/>
              <w:left w:val="nil"/>
              <w:bottom w:val="single" w:sz="4" w:space="0" w:color="000000"/>
              <w:right w:val="nil"/>
            </w:tcBorders>
            <w:vAlign w:val="center"/>
            <w:hideMark/>
          </w:tcPr>
          <w:p w14:paraId="7EF72B6E" w14:textId="77777777" w:rsidR="00C0369A" w:rsidRPr="00C0369A" w:rsidRDefault="00C0369A" w:rsidP="00C0369A">
            <w:pPr>
              <w:rPr>
                <w:rFonts w:ascii="Times" w:hAnsi="Times" w:cs="Calibri"/>
                <w:b/>
                <w:bCs/>
                <w:color w:val="000000"/>
                <w:sz w:val="15"/>
                <w:szCs w:val="15"/>
              </w:rPr>
            </w:pPr>
          </w:p>
        </w:tc>
        <w:tc>
          <w:tcPr>
            <w:tcW w:w="1057" w:type="dxa"/>
            <w:vMerge/>
            <w:tcBorders>
              <w:top w:val="single" w:sz="4" w:space="0" w:color="auto"/>
              <w:left w:val="nil"/>
              <w:bottom w:val="single" w:sz="4" w:space="0" w:color="000000"/>
              <w:right w:val="nil"/>
            </w:tcBorders>
            <w:vAlign w:val="center"/>
            <w:hideMark/>
          </w:tcPr>
          <w:p w14:paraId="6B4A0C7A" w14:textId="77777777" w:rsidR="00C0369A" w:rsidRPr="00C0369A" w:rsidRDefault="00C0369A" w:rsidP="00C0369A">
            <w:pPr>
              <w:rPr>
                <w:rFonts w:ascii="Times" w:hAnsi="Times" w:cs="Calibri"/>
                <w:b/>
                <w:bCs/>
                <w:color w:val="000000"/>
                <w:sz w:val="15"/>
                <w:szCs w:val="15"/>
              </w:rPr>
            </w:pPr>
          </w:p>
        </w:tc>
        <w:tc>
          <w:tcPr>
            <w:tcW w:w="1058" w:type="dxa"/>
            <w:vMerge/>
            <w:tcBorders>
              <w:top w:val="single" w:sz="4" w:space="0" w:color="auto"/>
              <w:left w:val="nil"/>
              <w:bottom w:val="single" w:sz="4" w:space="0" w:color="000000"/>
              <w:right w:val="nil"/>
            </w:tcBorders>
            <w:vAlign w:val="center"/>
            <w:hideMark/>
          </w:tcPr>
          <w:p w14:paraId="12CD855B" w14:textId="77777777" w:rsidR="00C0369A" w:rsidRPr="00C0369A" w:rsidRDefault="00C0369A" w:rsidP="00C0369A">
            <w:pPr>
              <w:rPr>
                <w:rFonts w:ascii="Times" w:hAnsi="Times" w:cs="Calibri"/>
                <w:b/>
                <w:bCs/>
                <w:color w:val="000000"/>
                <w:sz w:val="15"/>
                <w:szCs w:val="15"/>
              </w:rPr>
            </w:pPr>
          </w:p>
        </w:tc>
        <w:tc>
          <w:tcPr>
            <w:tcW w:w="1056" w:type="dxa"/>
            <w:vMerge/>
            <w:tcBorders>
              <w:top w:val="single" w:sz="4" w:space="0" w:color="auto"/>
              <w:left w:val="nil"/>
              <w:bottom w:val="single" w:sz="4" w:space="0" w:color="000000"/>
              <w:right w:val="nil"/>
            </w:tcBorders>
            <w:vAlign w:val="center"/>
            <w:hideMark/>
          </w:tcPr>
          <w:p w14:paraId="7181B039" w14:textId="77777777" w:rsidR="00C0369A" w:rsidRPr="00C0369A" w:rsidRDefault="00C0369A" w:rsidP="00C0369A">
            <w:pPr>
              <w:rPr>
                <w:rFonts w:ascii="Times" w:hAnsi="Times" w:cs="Calibri"/>
                <w:b/>
                <w:bCs/>
                <w:color w:val="000000"/>
                <w:sz w:val="15"/>
                <w:szCs w:val="15"/>
              </w:rPr>
            </w:pPr>
          </w:p>
        </w:tc>
        <w:tc>
          <w:tcPr>
            <w:tcW w:w="1055" w:type="dxa"/>
            <w:vMerge/>
            <w:tcBorders>
              <w:top w:val="single" w:sz="4" w:space="0" w:color="auto"/>
              <w:left w:val="nil"/>
              <w:bottom w:val="single" w:sz="4" w:space="0" w:color="000000"/>
              <w:right w:val="nil"/>
            </w:tcBorders>
            <w:vAlign w:val="center"/>
            <w:hideMark/>
          </w:tcPr>
          <w:p w14:paraId="17527571" w14:textId="77777777" w:rsidR="00C0369A" w:rsidRPr="00C0369A" w:rsidRDefault="00C0369A" w:rsidP="00C0369A">
            <w:pPr>
              <w:rPr>
                <w:rFonts w:ascii="Times" w:hAnsi="Times" w:cs="Calibri"/>
                <w:b/>
                <w:bCs/>
                <w:color w:val="000000"/>
                <w:sz w:val="15"/>
                <w:szCs w:val="15"/>
              </w:rPr>
            </w:pPr>
          </w:p>
        </w:tc>
        <w:tc>
          <w:tcPr>
            <w:tcW w:w="1300" w:type="dxa"/>
            <w:vMerge/>
            <w:tcBorders>
              <w:top w:val="single" w:sz="4" w:space="0" w:color="auto"/>
              <w:left w:val="nil"/>
              <w:bottom w:val="nil"/>
              <w:right w:val="single" w:sz="4" w:space="0" w:color="auto"/>
            </w:tcBorders>
            <w:vAlign w:val="center"/>
            <w:hideMark/>
          </w:tcPr>
          <w:p w14:paraId="517037E8" w14:textId="77777777" w:rsidR="00C0369A" w:rsidRPr="00C0369A" w:rsidRDefault="00C0369A" w:rsidP="00C0369A">
            <w:pPr>
              <w:rPr>
                <w:rFonts w:ascii="Times Roman" w:hAnsi="Times Roman" w:cs="Calibri"/>
                <w:color w:val="000000"/>
                <w:sz w:val="15"/>
                <w:szCs w:val="15"/>
              </w:rPr>
            </w:pPr>
          </w:p>
        </w:tc>
        <w:tc>
          <w:tcPr>
            <w:tcW w:w="36" w:type="dxa"/>
            <w:tcBorders>
              <w:top w:val="nil"/>
              <w:left w:val="nil"/>
              <w:bottom w:val="nil"/>
              <w:right w:val="nil"/>
            </w:tcBorders>
            <w:shd w:val="clear" w:color="auto" w:fill="auto"/>
            <w:noWrap/>
            <w:vAlign w:val="bottom"/>
            <w:hideMark/>
          </w:tcPr>
          <w:p w14:paraId="591DA089" w14:textId="77777777" w:rsidR="00C0369A" w:rsidRPr="00C0369A" w:rsidRDefault="00C0369A" w:rsidP="00C0369A">
            <w:pPr>
              <w:jc w:val="center"/>
              <w:rPr>
                <w:rFonts w:ascii="Times Roman" w:hAnsi="Times Roman" w:cs="Calibri"/>
                <w:color w:val="000000"/>
                <w:sz w:val="15"/>
                <w:szCs w:val="15"/>
              </w:rPr>
            </w:pPr>
          </w:p>
        </w:tc>
      </w:tr>
      <w:tr w:rsidR="00C0369A" w:rsidRPr="00C0369A" w14:paraId="251EC93C" w14:textId="77777777" w:rsidTr="00C0369A">
        <w:trPr>
          <w:trHeight w:val="460"/>
        </w:trPr>
        <w:tc>
          <w:tcPr>
            <w:tcW w:w="1494" w:type="dxa"/>
            <w:tcBorders>
              <w:top w:val="nil"/>
              <w:left w:val="single" w:sz="4" w:space="0" w:color="auto"/>
              <w:bottom w:val="single" w:sz="4" w:space="0" w:color="auto"/>
              <w:right w:val="nil"/>
            </w:tcBorders>
            <w:shd w:val="clear" w:color="auto" w:fill="auto"/>
            <w:vAlign w:val="center"/>
            <w:hideMark/>
          </w:tcPr>
          <w:p w14:paraId="26799C64" w14:textId="77777777" w:rsidR="00C0369A" w:rsidRPr="00C0369A" w:rsidRDefault="00C0369A" w:rsidP="00C0369A">
            <w:pPr>
              <w:rPr>
                <w:rFonts w:ascii="Times" w:hAnsi="Times" w:cs="Calibri"/>
                <w:i/>
                <w:iCs/>
                <w:color w:val="000000"/>
                <w:sz w:val="15"/>
                <w:szCs w:val="15"/>
              </w:rPr>
            </w:pPr>
            <w:r w:rsidRPr="00C0369A">
              <w:rPr>
                <w:rFonts w:ascii="Times" w:hAnsi="Times" w:cs="Calibri"/>
                <w:i/>
                <w:iCs/>
                <w:color w:val="000000"/>
                <w:sz w:val="15"/>
                <w:szCs w:val="15"/>
              </w:rPr>
              <w:t>N</w:t>
            </w:r>
          </w:p>
        </w:tc>
        <w:tc>
          <w:tcPr>
            <w:tcW w:w="1055" w:type="dxa"/>
            <w:tcBorders>
              <w:top w:val="nil"/>
              <w:left w:val="nil"/>
              <w:bottom w:val="single" w:sz="4" w:space="0" w:color="auto"/>
              <w:right w:val="nil"/>
            </w:tcBorders>
            <w:shd w:val="clear" w:color="auto" w:fill="auto"/>
            <w:vAlign w:val="center"/>
            <w:hideMark/>
          </w:tcPr>
          <w:p w14:paraId="22717548"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30528</w:t>
            </w:r>
          </w:p>
        </w:tc>
        <w:tc>
          <w:tcPr>
            <w:tcW w:w="1055" w:type="dxa"/>
            <w:tcBorders>
              <w:top w:val="nil"/>
              <w:left w:val="nil"/>
              <w:bottom w:val="single" w:sz="4" w:space="0" w:color="auto"/>
              <w:right w:val="nil"/>
            </w:tcBorders>
            <w:shd w:val="clear" w:color="auto" w:fill="auto"/>
            <w:vAlign w:val="center"/>
            <w:hideMark/>
          </w:tcPr>
          <w:p w14:paraId="75AD1389"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10634</w:t>
            </w:r>
          </w:p>
        </w:tc>
        <w:tc>
          <w:tcPr>
            <w:tcW w:w="1057" w:type="dxa"/>
            <w:tcBorders>
              <w:top w:val="nil"/>
              <w:left w:val="nil"/>
              <w:bottom w:val="single" w:sz="4" w:space="0" w:color="auto"/>
              <w:right w:val="nil"/>
            </w:tcBorders>
            <w:shd w:val="clear" w:color="auto" w:fill="auto"/>
            <w:vAlign w:val="center"/>
            <w:hideMark/>
          </w:tcPr>
          <w:p w14:paraId="0BD35A72"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3298</w:t>
            </w:r>
          </w:p>
        </w:tc>
        <w:tc>
          <w:tcPr>
            <w:tcW w:w="1057" w:type="dxa"/>
            <w:tcBorders>
              <w:top w:val="nil"/>
              <w:left w:val="nil"/>
              <w:bottom w:val="single" w:sz="4" w:space="0" w:color="auto"/>
              <w:right w:val="nil"/>
            </w:tcBorders>
            <w:shd w:val="clear" w:color="auto" w:fill="auto"/>
            <w:vAlign w:val="center"/>
            <w:hideMark/>
          </w:tcPr>
          <w:p w14:paraId="46417BA4"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991</w:t>
            </w:r>
          </w:p>
        </w:tc>
        <w:tc>
          <w:tcPr>
            <w:tcW w:w="1057" w:type="dxa"/>
            <w:tcBorders>
              <w:top w:val="nil"/>
              <w:left w:val="nil"/>
              <w:bottom w:val="single" w:sz="4" w:space="0" w:color="auto"/>
              <w:right w:val="nil"/>
            </w:tcBorders>
            <w:shd w:val="clear" w:color="auto" w:fill="auto"/>
            <w:vAlign w:val="center"/>
            <w:hideMark/>
          </w:tcPr>
          <w:p w14:paraId="59310D35"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10034</w:t>
            </w:r>
          </w:p>
        </w:tc>
        <w:tc>
          <w:tcPr>
            <w:tcW w:w="1058" w:type="dxa"/>
            <w:tcBorders>
              <w:top w:val="nil"/>
              <w:left w:val="nil"/>
              <w:bottom w:val="single" w:sz="4" w:space="0" w:color="auto"/>
              <w:right w:val="nil"/>
            </w:tcBorders>
            <w:shd w:val="clear" w:color="auto" w:fill="auto"/>
            <w:vAlign w:val="center"/>
            <w:hideMark/>
          </w:tcPr>
          <w:p w14:paraId="49D480CC"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756</w:t>
            </w:r>
          </w:p>
        </w:tc>
        <w:tc>
          <w:tcPr>
            <w:tcW w:w="1056" w:type="dxa"/>
            <w:tcBorders>
              <w:top w:val="nil"/>
              <w:left w:val="nil"/>
              <w:bottom w:val="single" w:sz="4" w:space="0" w:color="auto"/>
              <w:right w:val="nil"/>
            </w:tcBorders>
            <w:shd w:val="clear" w:color="auto" w:fill="auto"/>
            <w:vAlign w:val="center"/>
            <w:hideMark/>
          </w:tcPr>
          <w:p w14:paraId="785DE414"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708</w:t>
            </w:r>
          </w:p>
        </w:tc>
        <w:tc>
          <w:tcPr>
            <w:tcW w:w="1055" w:type="dxa"/>
            <w:tcBorders>
              <w:top w:val="nil"/>
              <w:left w:val="nil"/>
              <w:bottom w:val="single" w:sz="4" w:space="0" w:color="auto"/>
              <w:right w:val="nil"/>
            </w:tcBorders>
            <w:shd w:val="clear" w:color="auto" w:fill="auto"/>
            <w:vAlign w:val="center"/>
            <w:hideMark/>
          </w:tcPr>
          <w:p w14:paraId="4503C887"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1490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D30C739" w14:textId="77777777" w:rsidR="00C0369A" w:rsidRPr="00C0369A" w:rsidRDefault="00C0369A" w:rsidP="00C0369A">
            <w:pPr>
              <w:jc w:val="center"/>
              <w:rPr>
                <w:rFonts w:ascii="Times Roman" w:hAnsi="Times Roman" w:cs="Calibri"/>
                <w:color w:val="000000"/>
                <w:sz w:val="15"/>
                <w:szCs w:val="15"/>
              </w:rPr>
            </w:pPr>
            <w:r w:rsidRPr="00C0369A">
              <w:rPr>
                <w:rFonts w:ascii="Times Roman" w:hAnsi="Times Roman" w:cs="Calibri"/>
                <w:color w:val="000000"/>
                <w:sz w:val="15"/>
                <w:szCs w:val="15"/>
              </w:rPr>
              <w:t> </w:t>
            </w:r>
          </w:p>
        </w:tc>
        <w:tc>
          <w:tcPr>
            <w:tcW w:w="36" w:type="dxa"/>
            <w:vAlign w:val="center"/>
            <w:hideMark/>
          </w:tcPr>
          <w:p w14:paraId="1357A9EE" w14:textId="77777777" w:rsidR="00C0369A" w:rsidRPr="00C0369A" w:rsidRDefault="00C0369A" w:rsidP="00C0369A">
            <w:pPr>
              <w:rPr>
                <w:sz w:val="20"/>
                <w:szCs w:val="20"/>
              </w:rPr>
            </w:pPr>
          </w:p>
        </w:tc>
      </w:tr>
      <w:tr w:rsidR="00C0369A" w:rsidRPr="00C0369A" w14:paraId="304C21AB" w14:textId="77777777" w:rsidTr="00C0369A">
        <w:trPr>
          <w:trHeight w:val="320"/>
        </w:trPr>
        <w:tc>
          <w:tcPr>
            <w:tcW w:w="1494" w:type="dxa"/>
            <w:tcBorders>
              <w:top w:val="nil"/>
              <w:left w:val="single" w:sz="4" w:space="0" w:color="auto"/>
              <w:bottom w:val="nil"/>
              <w:right w:val="nil"/>
            </w:tcBorders>
            <w:shd w:val="clear" w:color="auto" w:fill="auto"/>
            <w:vAlign w:val="center"/>
            <w:hideMark/>
          </w:tcPr>
          <w:p w14:paraId="291AB7FF" w14:textId="77777777" w:rsidR="00C0369A" w:rsidRPr="00C0369A" w:rsidRDefault="00C0369A" w:rsidP="00C0369A">
            <w:pPr>
              <w:rPr>
                <w:rFonts w:ascii="Times" w:hAnsi="Times" w:cs="Calibri"/>
                <w:i/>
                <w:iCs/>
                <w:color w:val="000000"/>
                <w:sz w:val="15"/>
                <w:szCs w:val="15"/>
              </w:rPr>
            </w:pPr>
            <w:r w:rsidRPr="00C0369A">
              <w:rPr>
                <w:rFonts w:ascii="Times" w:hAnsi="Times" w:cs="Calibri"/>
                <w:i/>
                <w:iCs/>
                <w:color w:val="000000"/>
                <w:sz w:val="15"/>
                <w:szCs w:val="15"/>
              </w:rPr>
              <w:t>Age</w:t>
            </w:r>
          </w:p>
        </w:tc>
        <w:tc>
          <w:tcPr>
            <w:tcW w:w="1055" w:type="dxa"/>
            <w:tcBorders>
              <w:top w:val="nil"/>
              <w:left w:val="nil"/>
              <w:bottom w:val="nil"/>
              <w:right w:val="nil"/>
            </w:tcBorders>
            <w:shd w:val="clear" w:color="auto" w:fill="auto"/>
            <w:vAlign w:val="center"/>
            <w:hideMark/>
          </w:tcPr>
          <w:p w14:paraId="01118A22" w14:textId="77777777" w:rsidR="00C0369A" w:rsidRPr="00C0369A" w:rsidRDefault="00C0369A" w:rsidP="00C0369A">
            <w:pPr>
              <w:rPr>
                <w:rFonts w:ascii="Times" w:hAnsi="Times" w:cs="Calibri"/>
                <w:color w:val="000000"/>
                <w:sz w:val="15"/>
                <w:szCs w:val="15"/>
              </w:rPr>
            </w:pPr>
          </w:p>
        </w:tc>
        <w:tc>
          <w:tcPr>
            <w:tcW w:w="1055" w:type="dxa"/>
            <w:tcBorders>
              <w:top w:val="nil"/>
              <w:left w:val="nil"/>
              <w:bottom w:val="nil"/>
              <w:right w:val="nil"/>
            </w:tcBorders>
            <w:shd w:val="clear" w:color="auto" w:fill="auto"/>
            <w:vAlign w:val="center"/>
            <w:hideMark/>
          </w:tcPr>
          <w:p w14:paraId="18ECDB53" w14:textId="77777777" w:rsidR="00C0369A" w:rsidRPr="00C0369A" w:rsidRDefault="00C0369A" w:rsidP="00C0369A">
            <w:pPr>
              <w:jc w:val="center"/>
              <w:rPr>
                <w:sz w:val="20"/>
                <w:szCs w:val="20"/>
              </w:rPr>
            </w:pPr>
          </w:p>
        </w:tc>
        <w:tc>
          <w:tcPr>
            <w:tcW w:w="1057" w:type="dxa"/>
            <w:tcBorders>
              <w:top w:val="nil"/>
              <w:left w:val="nil"/>
              <w:bottom w:val="nil"/>
              <w:right w:val="nil"/>
            </w:tcBorders>
            <w:shd w:val="clear" w:color="auto" w:fill="auto"/>
            <w:vAlign w:val="center"/>
            <w:hideMark/>
          </w:tcPr>
          <w:p w14:paraId="51A6AFA2" w14:textId="77777777" w:rsidR="00C0369A" w:rsidRPr="00C0369A" w:rsidRDefault="00C0369A" w:rsidP="00C0369A">
            <w:pPr>
              <w:jc w:val="center"/>
              <w:rPr>
                <w:sz w:val="20"/>
                <w:szCs w:val="20"/>
              </w:rPr>
            </w:pPr>
          </w:p>
        </w:tc>
        <w:tc>
          <w:tcPr>
            <w:tcW w:w="1057" w:type="dxa"/>
            <w:tcBorders>
              <w:top w:val="nil"/>
              <w:left w:val="nil"/>
              <w:bottom w:val="nil"/>
              <w:right w:val="nil"/>
            </w:tcBorders>
            <w:shd w:val="clear" w:color="auto" w:fill="auto"/>
            <w:vAlign w:val="center"/>
            <w:hideMark/>
          </w:tcPr>
          <w:p w14:paraId="02ACACD7" w14:textId="77777777" w:rsidR="00C0369A" w:rsidRPr="00C0369A" w:rsidRDefault="00C0369A" w:rsidP="00C0369A">
            <w:pPr>
              <w:jc w:val="center"/>
              <w:rPr>
                <w:sz w:val="20"/>
                <w:szCs w:val="20"/>
              </w:rPr>
            </w:pPr>
          </w:p>
        </w:tc>
        <w:tc>
          <w:tcPr>
            <w:tcW w:w="1057" w:type="dxa"/>
            <w:tcBorders>
              <w:top w:val="nil"/>
              <w:left w:val="nil"/>
              <w:bottom w:val="nil"/>
              <w:right w:val="nil"/>
            </w:tcBorders>
            <w:shd w:val="clear" w:color="auto" w:fill="auto"/>
            <w:vAlign w:val="center"/>
            <w:hideMark/>
          </w:tcPr>
          <w:p w14:paraId="356F5AC5" w14:textId="77777777" w:rsidR="00C0369A" w:rsidRPr="00C0369A" w:rsidRDefault="00C0369A" w:rsidP="00C0369A">
            <w:pPr>
              <w:jc w:val="center"/>
              <w:rPr>
                <w:sz w:val="20"/>
                <w:szCs w:val="20"/>
              </w:rPr>
            </w:pPr>
          </w:p>
        </w:tc>
        <w:tc>
          <w:tcPr>
            <w:tcW w:w="1058" w:type="dxa"/>
            <w:tcBorders>
              <w:top w:val="nil"/>
              <w:left w:val="nil"/>
              <w:bottom w:val="nil"/>
              <w:right w:val="nil"/>
            </w:tcBorders>
            <w:shd w:val="clear" w:color="auto" w:fill="auto"/>
            <w:vAlign w:val="center"/>
            <w:hideMark/>
          </w:tcPr>
          <w:p w14:paraId="0BFA06EC" w14:textId="77777777" w:rsidR="00C0369A" w:rsidRPr="00C0369A" w:rsidRDefault="00C0369A" w:rsidP="00C0369A">
            <w:pPr>
              <w:jc w:val="center"/>
              <w:rPr>
                <w:sz w:val="20"/>
                <w:szCs w:val="20"/>
              </w:rPr>
            </w:pPr>
          </w:p>
        </w:tc>
        <w:tc>
          <w:tcPr>
            <w:tcW w:w="1056" w:type="dxa"/>
            <w:tcBorders>
              <w:top w:val="nil"/>
              <w:left w:val="nil"/>
              <w:bottom w:val="nil"/>
              <w:right w:val="nil"/>
            </w:tcBorders>
            <w:shd w:val="clear" w:color="auto" w:fill="auto"/>
            <w:vAlign w:val="center"/>
            <w:hideMark/>
          </w:tcPr>
          <w:p w14:paraId="11E83D91" w14:textId="77777777" w:rsidR="00C0369A" w:rsidRPr="00C0369A" w:rsidRDefault="00C0369A" w:rsidP="00C0369A">
            <w:pPr>
              <w:jc w:val="center"/>
              <w:rPr>
                <w:sz w:val="20"/>
                <w:szCs w:val="20"/>
              </w:rPr>
            </w:pPr>
          </w:p>
        </w:tc>
        <w:tc>
          <w:tcPr>
            <w:tcW w:w="1055" w:type="dxa"/>
            <w:tcBorders>
              <w:top w:val="nil"/>
              <w:left w:val="nil"/>
              <w:bottom w:val="nil"/>
              <w:right w:val="nil"/>
            </w:tcBorders>
            <w:shd w:val="clear" w:color="auto" w:fill="auto"/>
            <w:vAlign w:val="center"/>
            <w:hideMark/>
          </w:tcPr>
          <w:p w14:paraId="158E8F23" w14:textId="77777777" w:rsidR="00C0369A" w:rsidRPr="00C0369A" w:rsidRDefault="00C0369A" w:rsidP="00C0369A">
            <w:pPr>
              <w:jc w:val="center"/>
              <w:rPr>
                <w:sz w:val="20"/>
                <w:szCs w:val="20"/>
              </w:rPr>
            </w:pPr>
          </w:p>
        </w:tc>
        <w:tc>
          <w:tcPr>
            <w:tcW w:w="1300" w:type="dxa"/>
            <w:tcBorders>
              <w:top w:val="nil"/>
              <w:left w:val="nil"/>
              <w:bottom w:val="nil"/>
              <w:right w:val="single" w:sz="4" w:space="0" w:color="auto"/>
            </w:tcBorders>
            <w:shd w:val="clear" w:color="auto" w:fill="auto"/>
            <w:noWrap/>
            <w:vAlign w:val="center"/>
            <w:hideMark/>
          </w:tcPr>
          <w:p w14:paraId="1915F2AE" w14:textId="77777777" w:rsidR="00C0369A" w:rsidRPr="00C0369A" w:rsidRDefault="00C0369A" w:rsidP="00C0369A">
            <w:pPr>
              <w:jc w:val="center"/>
              <w:rPr>
                <w:rFonts w:ascii="Times Roman" w:hAnsi="Times Roman" w:cs="Calibri"/>
                <w:color w:val="000000"/>
                <w:sz w:val="15"/>
                <w:szCs w:val="15"/>
              </w:rPr>
            </w:pPr>
            <w:r w:rsidRPr="00C0369A">
              <w:rPr>
                <w:rFonts w:ascii="Times Roman" w:hAnsi="Times Roman" w:cs="Calibri"/>
                <w:color w:val="000000"/>
                <w:sz w:val="15"/>
                <w:szCs w:val="15"/>
              </w:rPr>
              <w:t> </w:t>
            </w:r>
          </w:p>
        </w:tc>
        <w:tc>
          <w:tcPr>
            <w:tcW w:w="36" w:type="dxa"/>
            <w:vAlign w:val="center"/>
            <w:hideMark/>
          </w:tcPr>
          <w:p w14:paraId="7A0BC331" w14:textId="77777777" w:rsidR="00C0369A" w:rsidRPr="00C0369A" w:rsidRDefault="00C0369A" w:rsidP="00C0369A">
            <w:pPr>
              <w:rPr>
                <w:sz w:val="20"/>
                <w:szCs w:val="20"/>
              </w:rPr>
            </w:pPr>
          </w:p>
        </w:tc>
      </w:tr>
      <w:tr w:rsidR="00C0369A" w:rsidRPr="00C0369A" w14:paraId="386518C8" w14:textId="77777777" w:rsidTr="00C0369A">
        <w:trPr>
          <w:trHeight w:val="460"/>
        </w:trPr>
        <w:tc>
          <w:tcPr>
            <w:tcW w:w="1494" w:type="dxa"/>
            <w:tcBorders>
              <w:top w:val="nil"/>
              <w:left w:val="single" w:sz="4" w:space="0" w:color="auto"/>
              <w:bottom w:val="nil"/>
              <w:right w:val="nil"/>
            </w:tcBorders>
            <w:shd w:val="clear" w:color="auto" w:fill="auto"/>
            <w:vAlign w:val="center"/>
            <w:hideMark/>
          </w:tcPr>
          <w:p w14:paraId="73B46221" w14:textId="77777777" w:rsidR="00C0369A" w:rsidRPr="00C0369A" w:rsidRDefault="00C0369A" w:rsidP="00C0369A">
            <w:pPr>
              <w:ind w:firstLineChars="100" w:firstLine="150"/>
              <w:jc w:val="right"/>
              <w:rPr>
                <w:rFonts w:ascii="Times" w:hAnsi="Times" w:cs="Calibri"/>
                <w:i/>
                <w:iCs/>
                <w:color w:val="000000"/>
                <w:sz w:val="15"/>
                <w:szCs w:val="15"/>
              </w:rPr>
            </w:pPr>
            <w:r w:rsidRPr="00C0369A">
              <w:rPr>
                <w:rFonts w:ascii="Times" w:hAnsi="Times" w:cs="Calibri"/>
                <w:i/>
                <w:iCs/>
                <w:color w:val="000000"/>
                <w:sz w:val="15"/>
                <w:szCs w:val="15"/>
              </w:rPr>
              <w:t>&lt;20 years</w:t>
            </w:r>
          </w:p>
        </w:tc>
        <w:tc>
          <w:tcPr>
            <w:tcW w:w="1055" w:type="dxa"/>
            <w:tcBorders>
              <w:top w:val="nil"/>
              <w:left w:val="nil"/>
              <w:bottom w:val="nil"/>
              <w:right w:val="nil"/>
            </w:tcBorders>
            <w:shd w:val="clear" w:color="auto" w:fill="auto"/>
            <w:vAlign w:val="center"/>
            <w:hideMark/>
          </w:tcPr>
          <w:p w14:paraId="6A2570FD"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2.0%</w:t>
            </w:r>
          </w:p>
        </w:tc>
        <w:tc>
          <w:tcPr>
            <w:tcW w:w="1055" w:type="dxa"/>
            <w:tcBorders>
              <w:top w:val="nil"/>
              <w:left w:val="nil"/>
              <w:bottom w:val="nil"/>
              <w:right w:val="nil"/>
            </w:tcBorders>
            <w:shd w:val="clear" w:color="auto" w:fill="auto"/>
            <w:vAlign w:val="center"/>
            <w:hideMark/>
          </w:tcPr>
          <w:p w14:paraId="396C946B"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0.4%</w:t>
            </w:r>
          </w:p>
        </w:tc>
        <w:tc>
          <w:tcPr>
            <w:tcW w:w="1057" w:type="dxa"/>
            <w:tcBorders>
              <w:top w:val="nil"/>
              <w:left w:val="nil"/>
              <w:bottom w:val="nil"/>
              <w:right w:val="nil"/>
            </w:tcBorders>
            <w:shd w:val="clear" w:color="auto" w:fill="auto"/>
            <w:vAlign w:val="center"/>
            <w:hideMark/>
          </w:tcPr>
          <w:p w14:paraId="1586A60A"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4.7%</w:t>
            </w:r>
          </w:p>
        </w:tc>
        <w:tc>
          <w:tcPr>
            <w:tcW w:w="1057" w:type="dxa"/>
            <w:tcBorders>
              <w:top w:val="nil"/>
              <w:left w:val="nil"/>
              <w:bottom w:val="nil"/>
              <w:right w:val="nil"/>
            </w:tcBorders>
            <w:shd w:val="clear" w:color="auto" w:fill="auto"/>
            <w:vAlign w:val="center"/>
            <w:hideMark/>
          </w:tcPr>
          <w:p w14:paraId="699C86F3"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3.8%</w:t>
            </w:r>
          </w:p>
        </w:tc>
        <w:tc>
          <w:tcPr>
            <w:tcW w:w="1057" w:type="dxa"/>
            <w:tcBorders>
              <w:top w:val="nil"/>
              <w:left w:val="nil"/>
              <w:bottom w:val="nil"/>
              <w:right w:val="nil"/>
            </w:tcBorders>
            <w:shd w:val="clear" w:color="auto" w:fill="auto"/>
            <w:vAlign w:val="center"/>
            <w:hideMark/>
          </w:tcPr>
          <w:p w14:paraId="34F216C2"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7.9%</w:t>
            </w:r>
          </w:p>
        </w:tc>
        <w:tc>
          <w:tcPr>
            <w:tcW w:w="1058" w:type="dxa"/>
            <w:tcBorders>
              <w:top w:val="nil"/>
              <w:left w:val="nil"/>
              <w:bottom w:val="nil"/>
              <w:right w:val="nil"/>
            </w:tcBorders>
            <w:shd w:val="clear" w:color="auto" w:fill="auto"/>
            <w:vAlign w:val="center"/>
            <w:hideMark/>
          </w:tcPr>
          <w:p w14:paraId="465FDB54"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7.1%</w:t>
            </w:r>
          </w:p>
        </w:tc>
        <w:tc>
          <w:tcPr>
            <w:tcW w:w="1056" w:type="dxa"/>
            <w:tcBorders>
              <w:top w:val="nil"/>
              <w:left w:val="nil"/>
              <w:bottom w:val="nil"/>
              <w:right w:val="nil"/>
            </w:tcBorders>
            <w:shd w:val="clear" w:color="auto" w:fill="auto"/>
            <w:vAlign w:val="center"/>
            <w:hideMark/>
          </w:tcPr>
          <w:p w14:paraId="666E10F6"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6.8%</w:t>
            </w:r>
          </w:p>
        </w:tc>
        <w:tc>
          <w:tcPr>
            <w:tcW w:w="1055" w:type="dxa"/>
            <w:tcBorders>
              <w:top w:val="nil"/>
              <w:left w:val="nil"/>
              <w:bottom w:val="nil"/>
              <w:right w:val="nil"/>
            </w:tcBorders>
            <w:shd w:val="clear" w:color="auto" w:fill="auto"/>
            <w:vAlign w:val="center"/>
            <w:hideMark/>
          </w:tcPr>
          <w:p w14:paraId="278D9957"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4.5%</w:t>
            </w:r>
          </w:p>
        </w:tc>
        <w:tc>
          <w:tcPr>
            <w:tcW w:w="1300" w:type="dxa"/>
            <w:tcBorders>
              <w:top w:val="nil"/>
              <w:left w:val="nil"/>
              <w:bottom w:val="nil"/>
              <w:right w:val="single" w:sz="4" w:space="0" w:color="auto"/>
            </w:tcBorders>
            <w:shd w:val="clear" w:color="auto" w:fill="auto"/>
            <w:noWrap/>
            <w:vAlign w:val="center"/>
            <w:hideMark/>
          </w:tcPr>
          <w:p w14:paraId="7E406EA0" w14:textId="77777777" w:rsidR="00C0369A" w:rsidRPr="00C0369A" w:rsidRDefault="00C0369A" w:rsidP="00C0369A">
            <w:pPr>
              <w:jc w:val="center"/>
              <w:rPr>
                <w:rFonts w:ascii="Times Roman" w:hAnsi="Times Roman" w:cs="Calibri"/>
                <w:color w:val="000000"/>
                <w:sz w:val="15"/>
                <w:szCs w:val="15"/>
              </w:rPr>
            </w:pPr>
            <w:r w:rsidRPr="00C0369A">
              <w:rPr>
                <w:rFonts w:ascii="Times Roman" w:hAnsi="Times Roman" w:cs="Calibri"/>
                <w:color w:val="000000"/>
                <w:sz w:val="15"/>
                <w:szCs w:val="15"/>
              </w:rPr>
              <w:t>&lt;0.05</w:t>
            </w:r>
          </w:p>
        </w:tc>
        <w:tc>
          <w:tcPr>
            <w:tcW w:w="36" w:type="dxa"/>
            <w:vAlign w:val="center"/>
            <w:hideMark/>
          </w:tcPr>
          <w:p w14:paraId="08E0F008" w14:textId="77777777" w:rsidR="00C0369A" w:rsidRPr="00C0369A" w:rsidRDefault="00C0369A" w:rsidP="00C0369A">
            <w:pPr>
              <w:rPr>
                <w:sz w:val="20"/>
                <w:szCs w:val="20"/>
              </w:rPr>
            </w:pPr>
          </w:p>
        </w:tc>
      </w:tr>
      <w:tr w:rsidR="00C0369A" w:rsidRPr="00C0369A" w14:paraId="66266124" w14:textId="77777777" w:rsidTr="00C0369A">
        <w:trPr>
          <w:trHeight w:val="460"/>
        </w:trPr>
        <w:tc>
          <w:tcPr>
            <w:tcW w:w="1494" w:type="dxa"/>
            <w:tcBorders>
              <w:top w:val="nil"/>
              <w:left w:val="single" w:sz="4" w:space="0" w:color="auto"/>
              <w:bottom w:val="nil"/>
              <w:right w:val="nil"/>
            </w:tcBorders>
            <w:shd w:val="clear" w:color="auto" w:fill="auto"/>
            <w:vAlign w:val="center"/>
            <w:hideMark/>
          </w:tcPr>
          <w:p w14:paraId="19747B23" w14:textId="77777777" w:rsidR="00C0369A" w:rsidRPr="00C0369A" w:rsidRDefault="00C0369A" w:rsidP="00C0369A">
            <w:pPr>
              <w:ind w:firstLineChars="100" w:firstLine="150"/>
              <w:jc w:val="right"/>
              <w:rPr>
                <w:rFonts w:ascii="Times" w:hAnsi="Times" w:cs="Calibri"/>
                <w:i/>
                <w:iCs/>
                <w:color w:val="000000"/>
                <w:sz w:val="15"/>
                <w:szCs w:val="15"/>
              </w:rPr>
            </w:pPr>
            <w:r w:rsidRPr="00C0369A">
              <w:rPr>
                <w:rFonts w:ascii="Times" w:hAnsi="Times" w:cs="Calibri"/>
                <w:i/>
                <w:iCs/>
                <w:color w:val="000000"/>
                <w:sz w:val="15"/>
                <w:szCs w:val="15"/>
              </w:rPr>
              <w:t>20-34 years</w:t>
            </w:r>
          </w:p>
        </w:tc>
        <w:tc>
          <w:tcPr>
            <w:tcW w:w="1055" w:type="dxa"/>
            <w:tcBorders>
              <w:top w:val="nil"/>
              <w:left w:val="nil"/>
              <w:bottom w:val="nil"/>
              <w:right w:val="nil"/>
            </w:tcBorders>
            <w:shd w:val="clear" w:color="auto" w:fill="auto"/>
            <w:vAlign w:val="center"/>
            <w:hideMark/>
          </w:tcPr>
          <w:p w14:paraId="24A4B653"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75%</w:t>
            </w:r>
          </w:p>
        </w:tc>
        <w:tc>
          <w:tcPr>
            <w:tcW w:w="1055" w:type="dxa"/>
            <w:tcBorders>
              <w:top w:val="nil"/>
              <w:left w:val="nil"/>
              <w:bottom w:val="nil"/>
              <w:right w:val="nil"/>
            </w:tcBorders>
            <w:shd w:val="clear" w:color="auto" w:fill="auto"/>
            <w:vAlign w:val="center"/>
            <w:hideMark/>
          </w:tcPr>
          <w:p w14:paraId="5DF34200"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72%</w:t>
            </w:r>
          </w:p>
        </w:tc>
        <w:tc>
          <w:tcPr>
            <w:tcW w:w="1057" w:type="dxa"/>
            <w:tcBorders>
              <w:top w:val="nil"/>
              <w:left w:val="nil"/>
              <w:bottom w:val="nil"/>
              <w:right w:val="nil"/>
            </w:tcBorders>
            <w:shd w:val="clear" w:color="auto" w:fill="auto"/>
            <w:vAlign w:val="center"/>
            <w:hideMark/>
          </w:tcPr>
          <w:p w14:paraId="5837EE83"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73%</w:t>
            </w:r>
          </w:p>
        </w:tc>
        <w:tc>
          <w:tcPr>
            <w:tcW w:w="1057" w:type="dxa"/>
            <w:tcBorders>
              <w:top w:val="nil"/>
              <w:left w:val="nil"/>
              <w:bottom w:val="nil"/>
              <w:right w:val="nil"/>
            </w:tcBorders>
            <w:shd w:val="clear" w:color="auto" w:fill="auto"/>
            <w:vAlign w:val="center"/>
            <w:hideMark/>
          </w:tcPr>
          <w:p w14:paraId="74C602BC"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82%</w:t>
            </w:r>
          </w:p>
        </w:tc>
        <w:tc>
          <w:tcPr>
            <w:tcW w:w="1057" w:type="dxa"/>
            <w:tcBorders>
              <w:top w:val="nil"/>
              <w:left w:val="nil"/>
              <w:bottom w:val="nil"/>
              <w:right w:val="nil"/>
            </w:tcBorders>
            <w:shd w:val="clear" w:color="auto" w:fill="auto"/>
            <w:vAlign w:val="center"/>
            <w:hideMark/>
          </w:tcPr>
          <w:p w14:paraId="6B63DCC2"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75%</w:t>
            </w:r>
          </w:p>
        </w:tc>
        <w:tc>
          <w:tcPr>
            <w:tcW w:w="1058" w:type="dxa"/>
            <w:tcBorders>
              <w:top w:val="nil"/>
              <w:left w:val="nil"/>
              <w:bottom w:val="nil"/>
              <w:right w:val="nil"/>
            </w:tcBorders>
            <w:shd w:val="clear" w:color="auto" w:fill="auto"/>
            <w:vAlign w:val="center"/>
            <w:hideMark/>
          </w:tcPr>
          <w:p w14:paraId="7118DF0E"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80%</w:t>
            </w:r>
          </w:p>
        </w:tc>
        <w:tc>
          <w:tcPr>
            <w:tcW w:w="1056" w:type="dxa"/>
            <w:tcBorders>
              <w:top w:val="nil"/>
              <w:left w:val="nil"/>
              <w:bottom w:val="nil"/>
              <w:right w:val="nil"/>
            </w:tcBorders>
            <w:shd w:val="clear" w:color="auto" w:fill="auto"/>
            <w:vAlign w:val="center"/>
            <w:hideMark/>
          </w:tcPr>
          <w:p w14:paraId="62322188"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79%</w:t>
            </w:r>
          </w:p>
        </w:tc>
        <w:tc>
          <w:tcPr>
            <w:tcW w:w="1055" w:type="dxa"/>
            <w:tcBorders>
              <w:top w:val="nil"/>
              <w:left w:val="nil"/>
              <w:bottom w:val="nil"/>
              <w:right w:val="nil"/>
            </w:tcBorders>
            <w:shd w:val="clear" w:color="auto" w:fill="auto"/>
            <w:vAlign w:val="center"/>
            <w:hideMark/>
          </w:tcPr>
          <w:p w14:paraId="383D4B94"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79%</w:t>
            </w:r>
          </w:p>
        </w:tc>
        <w:tc>
          <w:tcPr>
            <w:tcW w:w="1300" w:type="dxa"/>
            <w:tcBorders>
              <w:top w:val="nil"/>
              <w:left w:val="nil"/>
              <w:bottom w:val="nil"/>
              <w:right w:val="single" w:sz="4" w:space="0" w:color="auto"/>
            </w:tcBorders>
            <w:shd w:val="clear" w:color="auto" w:fill="auto"/>
            <w:noWrap/>
            <w:vAlign w:val="center"/>
            <w:hideMark/>
          </w:tcPr>
          <w:p w14:paraId="22893932" w14:textId="77777777" w:rsidR="00C0369A" w:rsidRPr="00C0369A" w:rsidRDefault="00C0369A" w:rsidP="00C0369A">
            <w:pPr>
              <w:jc w:val="center"/>
              <w:rPr>
                <w:rFonts w:ascii="Times Roman" w:hAnsi="Times Roman" w:cs="Calibri"/>
                <w:color w:val="000000"/>
                <w:sz w:val="15"/>
                <w:szCs w:val="15"/>
              </w:rPr>
            </w:pPr>
            <w:r w:rsidRPr="00C0369A">
              <w:rPr>
                <w:rFonts w:ascii="Times Roman" w:hAnsi="Times Roman" w:cs="Calibri"/>
                <w:color w:val="000000"/>
                <w:sz w:val="15"/>
                <w:szCs w:val="15"/>
              </w:rPr>
              <w:t>&lt;0.05</w:t>
            </w:r>
          </w:p>
        </w:tc>
        <w:tc>
          <w:tcPr>
            <w:tcW w:w="36" w:type="dxa"/>
            <w:vAlign w:val="center"/>
            <w:hideMark/>
          </w:tcPr>
          <w:p w14:paraId="0563F122" w14:textId="77777777" w:rsidR="00C0369A" w:rsidRPr="00C0369A" w:rsidRDefault="00C0369A" w:rsidP="00C0369A">
            <w:pPr>
              <w:rPr>
                <w:sz w:val="20"/>
                <w:szCs w:val="20"/>
              </w:rPr>
            </w:pPr>
          </w:p>
        </w:tc>
      </w:tr>
      <w:tr w:rsidR="00C0369A" w:rsidRPr="00C0369A" w14:paraId="16CDFDFE" w14:textId="77777777" w:rsidTr="00C0369A">
        <w:trPr>
          <w:trHeight w:val="460"/>
        </w:trPr>
        <w:tc>
          <w:tcPr>
            <w:tcW w:w="1494" w:type="dxa"/>
            <w:tcBorders>
              <w:top w:val="nil"/>
              <w:left w:val="single" w:sz="4" w:space="0" w:color="auto"/>
              <w:bottom w:val="nil"/>
              <w:right w:val="nil"/>
            </w:tcBorders>
            <w:shd w:val="clear" w:color="auto" w:fill="auto"/>
            <w:vAlign w:val="center"/>
            <w:hideMark/>
          </w:tcPr>
          <w:p w14:paraId="6969A055" w14:textId="77777777" w:rsidR="00C0369A" w:rsidRPr="00C0369A" w:rsidRDefault="00C0369A" w:rsidP="00C0369A">
            <w:pPr>
              <w:ind w:firstLineChars="100" w:firstLine="150"/>
              <w:jc w:val="right"/>
              <w:rPr>
                <w:rFonts w:ascii="Times" w:hAnsi="Times" w:cs="Calibri"/>
                <w:i/>
                <w:iCs/>
                <w:color w:val="000000"/>
                <w:sz w:val="15"/>
                <w:szCs w:val="15"/>
              </w:rPr>
            </w:pPr>
            <w:r w:rsidRPr="00C0369A">
              <w:rPr>
                <w:rFonts w:ascii="Times" w:hAnsi="Times" w:cs="Calibri"/>
                <w:i/>
                <w:iCs/>
                <w:color w:val="000000"/>
                <w:sz w:val="15"/>
                <w:szCs w:val="15"/>
              </w:rPr>
              <w:t>35+ years</w:t>
            </w:r>
          </w:p>
        </w:tc>
        <w:tc>
          <w:tcPr>
            <w:tcW w:w="1055" w:type="dxa"/>
            <w:tcBorders>
              <w:top w:val="nil"/>
              <w:left w:val="nil"/>
              <w:bottom w:val="nil"/>
              <w:right w:val="nil"/>
            </w:tcBorders>
            <w:shd w:val="clear" w:color="auto" w:fill="auto"/>
            <w:vAlign w:val="center"/>
            <w:hideMark/>
          </w:tcPr>
          <w:p w14:paraId="1438B932"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23%</w:t>
            </w:r>
          </w:p>
        </w:tc>
        <w:tc>
          <w:tcPr>
            <w:tcW w:w="1055" w:type="dxa"/>
            <w:tcBorders>
              <w:top w:val="nil"/>
              <w:left w:val="nil"/>
              <w:bottom w:val="nil"/>
              <w:right w:val="nil"/>
            </w:tcBorders>
            <w:shd w:val="clear" w:color="auto" w:fill="auto"/>
            <w:vAlign w:val="center"/>
            <w:hideMark/>
          </w:tcPr>
          <w:p w14:paraId="5F255E3F"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28%</w:t>
            </w:r>
          </w:p>
        </w:tc>
        <w:tc>
          <w:tcPr>
            <w:tcW w:w="1057" w:type="dxa"/>
            <w:tcBorders>
              <w:top w:val="nil"/>
              <w:left w:val="nil"/>
              <w:bottom w:val="nil"/>
              <w:right w:val="nil"/>
            </w:tcBorders>
            <w:shd w:val="clear" w:color="auto" w:fill="auto"/>
            <w:vAlign w:val="center"/>
            <w:hideMark/>
          </w:tcPr>
          <w:p w14:paraId="379D81BC"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22%</w:t>
            </w:r>
          </w:p>
        </w:tc>
        <w:tc>
          <w:tcPr>
            <w:tcW w:w="1057" w:type="dxa"/>
            <w:tcBorders>
              <w:top w:val="nil"/>
              <w:left w:val="nil"/>
              <w:bottom w:val="nil"/>
              <w:right w:val="nil"/>
            </w:tcBorders>
            <w:shd w:val="clear" w:color="auto" w:fill="auto"/>
            <w:vAlign w:val="center"/>
            <w:hideMark/>
          </w:tcPr>
          <w:p w14:paraId="3086E3E3"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15%</w:t>
            </w:r>
          </w:p>
        </w:tc>
        <w:tc>
          <w:tcPr>
            <w:tcW w:w="1057" w:type="dxa"/>
            <w:tcBorders>
              <w:top w:val="nil"/>
              <w:left w:val="nil"/>
              <w:bottom w:val="nil"/>
              <w:right w:val="nil"/>
            </w:tcBorders>
            <w:shd w:val="clear" w:color="auto" w:fill="auto"/>
            <w:vAlign w:val="center"/>
            <w:hideMark/>
          </w:tcPr>
          <w:p w14:paraId="41E14618"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17%</w:t>
            </w:r>
          </w:p>
        </w:tc>
        <w:tc>
          <w:tcPr>
            <w:tcW w:w="1058" w:type="dxa"/>
            <w:tcBorders>
              <w:top w:val="nil"/>
              <w:left w:val="nil"/>
              <w:bottom w:val="nil"/>
              <w:right w:val="nil"/>
            </w:tcBorders>
            <w:shd w:val="clear" w:color="auto" w:fill="auto"/>
            <w:vAlign w:val="center"/>
            <w:hideMark/>
          </w:tcPr>
          <w:p w14:paraId="7A4ADD42"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13%</w:t>
            </w:r>
          </w:p>
        </w:tc>
        <w:tc>
          <w:tcPr>
            <w:tcW w:w="1056" w:type="dxa"/>
            <w:tcBorders>
              <w:top w:val="nil"/>
              <w:left w:val="nil"/>
              <w:bottom w:val="nil"/>
              <w:right w:val="nil"/>
            </w:tcBorders>
            <w:shd w:val="clear" w:color="auto" w:fill="auto"/>
            <w:vAlign w:val="center"/>
            <w:hideMark/>
          </w:tcPr>
          <w:p w14:paraId="25172550"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14%</w:t>
            </w:r>
          </w:p>
        </w:tc>
        <w:tc>
          <w:tcPr>
            <w:tcW w:w="1055" w:type="dxa"/>
            <w:tcBorders>
              <w:top w:val="nil"/>
              <w:left w:val="nil"/>
              <w:bottom w:val="nil"/>
              <w:right w:val="nil"/>
            </w:tcBorders>
            <w:shd w:val="clear" w:color="auto" w:fill="auto"/>
            <w:vAlign w:val="center"/>
            <w:hideMark/>
          </w:tcPr>
          <w:p w14:paraId="03FF3D1E"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14%</w:t>
            </w:r>
          </w:p>
        </w:tc>
        <w:tc>
          <w:tcPr>
            <w:tcW w:w="1300" w:type="dxa"/>
            <w:tcBorders>
              <w:top w:val="nil"/>
              <w:left w:val="nil"/>
              <w:bottom w:val="single" w:sz="4" w:space="0" w:color="auto"/>
              <w:right w:val="single" w:sz="4" w:space="0" w:color="auto"/>
            </w:tcBorders>
            <w:shd w:val="clear" w:color="auto" w:fill="auto"/>
            <w:noWrap/>
            <w:vAlign w:val="center"/>
            <w:hideMark/>
          </w:tcPr>
          <w:p w14:paraId="71D84D36" w14:textId="77777777" w:rsidR="00C0369A" w:rsidRPr="00C0369A" w:rsidRDefault="00C0369A" w:rsidP="00C0369A">
            <w:pPr>
              <w:jc w:val="center"/>
              <w:rPr>
                <w:rFonts w:ascii="Times Roman" w:hAnsi="Times Roman" w:cs="Calibri"/>
                <w:color w:val="000000"/>
                <w:sz w:val="15"/>
                <w:szCs w:val="15"/>
              </w:rPr>
            </w:pPr>
            <w:r w:rsidRPr="00C0369A">
              <w:rPr>
                <w:rFonts w:ascii="Times Roman" w:hAnsi="Times Roman" w:cs="Calibri"/>
                <w:color w:val="000000"/>
                <w:sz w:val="15"/>
                <w:szCs w:val="15"/>
              </w:rPr>
              <w:t>&lt;0.05</w:t>
            </w:r>
          </w:p>
        </w:tc>
        <w:tc>
          <w:tcPr>
            <w:tcW w:w="36" w:type="dxa"/>
            <w:vAlign w:val="center"/>
            <w:hideMark/>
          </w:tcPr>
          <w:p w14:paraId="1216FBFE" w14:textId="77777777" w:rsidR="00C0369A" w:rsidRPr="00C0369A" w:rsidRDefault="00C0369A" w:rsidP="00C0369A">
            <w:pPr>
              <w:rPr>
                <w:sz w:val="20"/>
                <w:szCs w:val="20"/>
              </w:rPr>
            </w:pPr>
          </w:p>
        </w:tc>
      </w:tr>
      <w:tr w:rsidR="00C0369A" w:rsidRPr="00C0369A" w14:paraId="7BD65556" w14:textId="77777777" w:rsidTr="00C0369A">
        <w:trPr>
          <w:trHeight w:val="560"/>
        </w:trPr>
        <w:tc>
          <w:tcPr>
            <w:tcW w:w="1494" w:type="dxa"/>
            <w:tcBorders>
              <w:top w:val="single" w:sz="4" w:space="0" w:color="auto"/>
              <w:left w:val="single" w:sz="4" w:space="0" w:color="auto"/>
              <w:bottom w:val="nil"/>
              <w:right w:val="nil"/>
            </w:tcBorders>
            <w:shd w:val="clear" w:color="auto" w:fill="auto"/>
            <w:vAlign w:val="center"/>
            <w:hideMark/>
          </w:tcPr>
          <w:p w14:paraId="7795AE05" w14:textId="77777777" w:rsidR="00C0369A" w:rsidRPr="00C0369A" w:rsidRDefault="00C0369A" w:rsidP="00C0369A">
            <w:pPr>
              <w:rPr>
                <w:rFonts w:ascii="Times" w:hAnsi="Times" w:cs="Calibri"/>
                <w:i/>
                <w:iCs/>
                <w:color w:val="000000"/>
                <w:sz w:val="15"/>
                <w:szCs w:val="15"/>
              </w:rPr>
            </w:pPr>
            <w:r w:rsidRPr="00C0369A">
              <w:rPr>
                <w:rFonts w:ascii="Times" w:hAnsi="Times" w:cs="Calibri"/>
                <w:i/>
                <w:iCs/>
                <w:color w:val="000000"/>
                <w:sz w:val="15"/>
                <w:szCs w:val="15"/>
              </w:rPr>
              <w:t xml:space="preserve">Obesity at Admission (BMI </w:t>
            </w:r>
            <w:r w:rsidRPr="00C0369A">
              <w:rPr>
                <w:rFonts w:ascii="Calibri" w:hAnsi="Calibri" w:cs="Calibri"/>
                <w:i/>
                <w:iCs/>
                <w:color w:val="000000"/>
                <w:sz w:val="15"/>
                <w:szCs w:val="15"/>
              </w:rPr>
              <w:t xml:space="preserve"> </w:t>
            </w:r>
            <w:r w:rsidRPr="00C0369A">
              <w:rPr>
                <w:rFonts w:ascii="Times" w:hAnsi="Times" w:cs="Calibri"/>
                <w:i/>
                <w:iCs/>
                <w:color w:val="000000"/>
                <w:sz w:val="15"/>
                <w:szCs w:val="15"/>
              </w:rPr>
              <w:t>≥30kg/m</w:t>
            </w:r>
            <w:r w:rsidRPr="00C0369A">
              <w:rPr>
                <w:rFonts w:ascii="Times" w:hAnsi="Times" w:cs="Calibri"/>
                <w:i/>
                <w:iCs/>
                <w:color w:val="000000"/>
                <w:sz w:val="15"/>
                <w:szCs w:val="15"/>
                <w:vertAlign w:val="superscript"/>
              </w:rPr>
              <w:t>2</w:t>
            </w:r>
            <w:r w:rsidRPr="00C0369A">
              <w:rPr>
                <w:rFonts w:ascii="Times" w:hAnsi="Times" w:cs="Calibri"/>
                <w:i/>
                <w:iCs/>
                <w:color w:val="000000"/>
                <w:sz w:val="15"/>
                <w:szCs w:val="15"/>
              </w:rPr>
              <w:t>)</w:t>
            </w:r>
          </w:p>
        </w:tc>
        <w:tc>
          <w:tcPr>
            <w:tcW w:w="1055" w:type="dxa"/>
            <w:tcBorders>
              <w:top w:val="single" w:sz="4" w:space="0" w:color="auto"/>
              <w:left w:val="nil"/>
              <w:bottom w:val="nil"/>
              <w:right w:val="nil"/>
            </w:tcBorders>
            <w:shd w:val="clear" w:color="auto" w:fill="auto"/>
            <w:vAlign w:val="center"/>
            <w:hideMark/>
          </w:tcPr>
          <w:p w14:paraId="4441F139"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56%</w:t>
            </w:r>
          </w:p>
        </w:tc>
        <w:tc>
          <w:tcPr>
            <w:tcW w:w="1055" w:type="dxa"/>
            <w:tcBorders>
              <w:top w:val="single" w:sz="4" w:space="0" w:color="auto"/>
              <w:left w:val="nil"/>
              <w:bottom w:val="nil"/>
              <w:right w:val="nil"/>
            </w:tcBorders>
            <w:shd w:val="clear" w:color="auto" w:fill="auto"/>
            <w:vAlign w:val="center"/>
            <w:hideMark/>
          </w:tcPr>
          <w:p w14:paraId="30CFF7D7"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33%</w:t>
            </w:r>
          </w:p>
        </w:tc>
        <w:tc>
          <w:tcPr>
            <w:tcW w:w="1057" w:type="dxa"/>
            <w:tcBorders>
              <w:top w:val="single" w:sz="4" w:space="0" w:color="auto"/>
              <w:left w:val="nil"/>
              <w:bottom w:val="nil"/>
              <w:right w:val="nil"/>
            </w:tcBorders>
            <w:shd w:val="clear" w:color="auto" w:fill="auto"/>
            <w:vAlign w:val="center"/>
            <w:hideMark/>
          </w:tcPr>
          <w:p w14:paraId="3563CEAB"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60%</w:t>
            </w:r>
          </w:p>
        </w:tc>
        <w:tc>
          <w:tcPr>
            <w:tcW w:w="1057" w:type="dxa"/>
            <w:tcBorders>
              <w:top w:val="single" w:sz="4" w:space="0" w:color="auto"/>
              <w:left w:val="nil"/>
              <w:bottom w:val="nil"/>
              <w:right w:val="nil"/>
            </w:tcBorders>
            <w:shd w:val="clear" w:color="auto" w:fill="auto"/>
            <w:vAlign w:val="center"/>
            <w:hideMark/>
          </w:tcPr>
          <w:p w14:paraId="50FC4E9C"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82%</w:t>
            </w:r>
          </w:p>
        </w:tc>
        <w:tc>
          <w:tcPr>
            <w:tcW w:w="1057" w:type="dxa"/>
            <w:tcBorders>
              <w:top w:val="single" w:sz="4" w:space="0" w:color="auto"/>
              <w:left w:val="nil"/>
              <w:bottom w:val="nil"/>
              <w:right w:val="nil"/>
            </w:tcBorders>
            <w:shd w:val="clear" w:color="auto" w:fill="auto"/>
            <w:vAlign w:val="center"/>
            <w:hideMark/>
          </w:tcPr>
          <w:p w14:paraId="7A60A45D"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67%</w:t>
            </w:r>
          </w:p>
        </w:tc>
        <w:tc>
          <w:tcPr>
            <w:tcW w:w="1058" w:type="dxa"/>
            <w:tcBorders>
              <w:top w:val="single" w:sz="4" w:space="0" w:color="auto"/>
              <w:left w:val="nil"/>
              <w:bottom w:val="nil"/>
              <w:right w:val="nil"/>
            </w:tcBorders>
            <w:shd w:val="clear" w:color="auto" w:fill="auto"/>
            <w:vAlign w:val="center"/>
            <w:hideMark/>
          </w:tcPr>
          <w:p w14:paraId="688E80FD"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71%</w:t>
            </w:r>
          </w:p>
        </w:tc>
        <w:tc>
          <w:tcPr>
            <w:tcW w:w="1056" w:type="dxa"/>
            <w:tcBorders>
              <w:top w:val="single" w:sz="4" w:space="0" w:color="auto"/>
              <w:left w:val="nil"/>
              <w:bottom w:val="nil"/>
              <w:right w:val="nil"/>
            </w:tcBorders>
            <w:shd w:val="clear" w:color="auto" w:fill="auto"/>
            <w:vAlign w:val="center"/>
            <w:hideMark/>
          </w:tcPr>
          <w:p w14:paraId="3DF757D5"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63%</w:t>
            </w:r>
          </w:p>
        </w:tc>
        <w:tc>
          <w:tcPr>
            <w:tcW w:w="1055" w:type="dxa"/>
            <w:tcBorders>
              <w:top w:val="single" w:sz="4" w:space="0" w:color="auto"/>
              <w:left w:val="nil"/>
              <w:bottom w:val="nil"/>
              <w:right w:val="nil"/>
            </w:tcBorders>
            <w:shd w:val="clear" w:color="auto" w:fill="auto"/>
            <w:vAlign w:val="center"/>
            <w:hideMark/>
          </w:tcPr>
          <w:p w14:paraId="54F14BC3"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58%</w:t>
            </w:r>
          </w:p>
        </w:tc>
        <w:tc>
          <w:tcPr>
            <w:tcW w:w="1300" w:type="dxa"/>
            <w:tcBorders>
              <w:top w:val="nil"/>
              <w:left w:val="nil"/>
              <w:bottom w:val="single" w:sz="4" w:space="0" w:color="auto"/>
              <w:right w:val="single" w:sz="4" w:space="0" w:color="auto"/>
            </w:tcBorders>
            <w:shd w:val="clear" w:color="auto" w:fill="auto"/>
            <w:noWrap/>
            <w:vAlign w:val="center"/>
            <w:hideMark/>
          </w:tcPr>
          <w:p w14:paraId="47F45952" w14:textId="77777777" w:rsidR="00C0369A" w:rsidRPr="00C0369A" w:rsidRDefault="00C0369A" w:rsidP="00C0369A">
            <w:pPr>
              <w:jc w:val="center"/>
              <w:rPr>
                <w:rFonts w:ascii="Times Roman" w:hAnsi="Times Roman" w:cs="Calibri"/>
                <w:color w:val="000000"/>
                <w:sz w:val="15"/>
                <w:szCs w:val="15"/>
              </w:rPr>
            </w:pPr>
            <w:r w:rsidRPr="00C0369A">
              <w:rPr>
                <w:rFonts w:ascii="Times Roman" w:hAnsi="Times Roman" w:cs="Calibri"/>
                <w:color w:val="000000"/>
                <w:sz w:val="15"/>
                <w:szCs w:val="15"/>
              </w:rPr>
              <w:t>&lt;0.05</w:t>
            </w:r>
          </w:p>
        </w:tc>
        <w:tc>
          <w:tcPr>
            <w:tcW w:w="36" w:type="dxa"/>
            <w:vAlign w:val="center"/>
            <w:hideMark/>
          </w:tcPr>
          <w:p w14:paraId="041384B2" w14:textId="77777777" w:rsidR="00C0369A" w:rsidRPr="00C0369A" w:rsidRDefault="00C0369A" w:rsidP="00C0369A">
            <w:pPr>
              <w:rPr>
                <w:sz w:val="20"/>
                <w:szCs w:val="20"/>
              </w:rPr>
            </w:pPr>
          </w:p>
        </w:tc>
      </w:tr>
      <w:tr w:rsidR="00C0369A" w:rsidRPr="00C0369A" w14:paraId="0420CDF5" w14:textId="77777777" w:rsidTr="00C0369A">
        <w:trPr>
          <w:trHeight w:val="560"/>
        </w:trPr>
        <w:tc>
          <w:tcPr>
            <w:tcW w:w="1494" w:type="dxa"/>
            <w:tcBorders>
              <w:top w:val="single" w:sz="4" w:space="0" w:color="auto"/>
              <w:left w:val="single" w:sz="4" w:space="0" w:color="auto"/>
              <w:bottom w:val="single" w:sz="4" w:space="0" w:color="auto"/>
              <w:right w:val="nil"/>
            </w:tcBorders>
            <w:shd w:val="clear" w:color="auto" w:fill="auto"/>
            <w:vAlign w:val="center"/>
            <w:hideMark/>
          </w:tcPr>
          <w:p w14:paraId="6894B8AE" w14:textId="77777777" w:rsidR="00C0369A" w:rsidRPr="00C0369A" w:rsidRDefault="00C0369A" w:rsidP="00C0369A">
            <w:pPr>
              <w:rPr>
                <w:rFonts w:ascii="Times" w:hAnsi="Times" w:cs="Calibri"/>
                <w:i/>
                <w:iCs/>
                <w:color w:val="000000"/>
                <w:sz w:val="15"/>
                <w:szCs w:val="15"/>
              </w:rPr>
            </w:pPr>
            <w:r w:rsidRPr="00C0369A">
              <w:rPr>
                <w:rFonts w:ascii="Times" w:hAnsi="Times" w:cs="Calibri"/>
                <w:i/>
                <w:iCs/>
                <w:color w:val="000000"/>
                <w:sz w:val="15"/>
                <w:szCs w:val="15"/>
              </w:rPr>
              <w:t>Nulliparous</w:t>
            </w:r>
          </w:p>
        </w:tc>
        <w:tc>
          <w:tcPr>
            <w:tcW w:w="1055" w:type="dxa"/>
            <w:tcBorders>
              <w:top w:val="single" w:sz="4" w:space="0" w:color="auto"/>
              <w:left w:val="nil"/>
              <w:bottom w:val="single" w:sz="4" w:space="0" w:color="auto"/>
              <w:right w:val="nil"/>
            </w:tcBorders>
            <w:shd w:val="clear" w:color="auto" w:fill="auto"/>
            <w:vAlign w:val="center"/>
            <w:hideMark/>
          </w:tcPr>
          <w:p w14:paraId="2C7DCF8B"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41%</w:t>
            </w:r>
          </w:p>
        </w:tc>
        <w:tc>
          <w:tcPr>
            <w:tcW w:w="1055" w:type="dxa"/>
            <w:tcBorders>
              <w:top w:val="single" w:sz="4" w:space="0" w:color="auto"/>
              <w:left w:val="nil"/>
              <w:bottom w:val="single" w:sz="4" w:space="0" w:color="auto"/>
              <w:right w:val="nil"/>
            </w:tcBorders>
            <w:shd w:val="clear" w:color="auto" w:fill="auto"/>
            <w:vAlign w:val="center"/>
            <w:hideMark/>
          </w:tcPr>
          <w:p w14:paraId="718FC349"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48%</w:t>
            </w:r>
          </w:p>
        </w:tc>
        <w:tc>
          <w:tcPr>
            <w:tcW w:w="1057" w:type="dxa"/>
            <w:tcBorders>
              <w:top w:val="single" w:sz="4" w:space="0" w:color="auto"/>
              <w:left w:val="nil"/>
              <w:bottom w:val="single" w:sz="4" w:space="0" w:color="auto"/>
              <w:right w:val="nil"/>
            </w:tcBorders>
            <w:shd w:val="clear" w:color="auto" w:fill="auto"/>
            <w:vAlign w:val="center"/>
            <w:hideMark/>
          </w:tcPr>
          <w:p w14:paraId="3343C5C6"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34%</w:t>
            </w:r>
          </w:p>
        </w:tc>
        <w:tc>
          <w:tcPr>
            <w:tcW w:w="1057" w:type="dxa"/>
            <w:tcBorders>
              <w:top w:val="single" w:sz="4" w:space="0" w:color="auto"/>
              <w:left w:val="nil"/>
              <w:bottom w:val="single" w:sz="4" w:space="0" w:color="auto"/>
              <w:right w:val="nil"/>
            </w:tcBorders>
            <w:shd w:val="clear" w:color="auto" w:fill="auto"/>
            <w:vAlign w:val="center"/>
            <w:hideMark/>
          </w:tcPr>
          <w:p w14:paraId="4A071951"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30%</w:t>
            </w:r>
          </w:p>
        </w:tc>
        <w:tc>
          <w:tcPr>
            <w:tcW w:w="1057" w:type="dxa"/>
            <w:tcBorders>
              <w:top w:val="single" w:sz="4" w:space="0" w:color="auto"/>
              <w:left w:val="nil"/>
              <w:bottom w:val="single" w:sz="4" w:space="0" w:color="auto"/>
              <w:right w:val="nil"/>
            </w:tcBorders>
            <w:shd w:val="clear" w:color="auto" w:fill="auto"/>
            <w:vAlign w:val="center"/>
            <w:hideMark/>
          </w:tcPr>
          <w:p w14:paraId="0D6310D8"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31%</w:t>
            </w:r>
          </w:p>
        </w:tc>
        <w:tc>
          <w:tcPr>
            <w:tcW w:w="1058" w:type="dxa"/>
            <w:tcBorders>
              <w:top w:val="single" w:sz="4" w:space="0" w:color="auto"/>
              <w:left w:val="nil"/>
              <w:bottom w:val="single" w:sz="4" w:space="0" w:color="auto"/>
              <w:right w:val="nil"/>
            </w:tcBorders>
            <w:shd w:val="clear" w:color="auto" w:fill="auto"/>
            <w:vAlign w:val="center"/>
            <w:hideMark/>
          </w:tcPr>
          <w:p w14:paraId="2C89EED5"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34%</w:t>
            </w:r>
          </w:p>
        </w:tc>
        <w:tc>
          <w:tcPr>
            <w:tcW w:w="1056" w:type="dxa"/>
            <w:tcBorders>
              <w:top w:val="single" w:sz="4" w:space="0" w:color="auto"/>
              <w:left w:val="nil"/>
              <w:bottom w:val="single" w:sz="4" w:space="0" w:color="auto"/>
              <w:right w:val="nil"/>
            </w:tcBorders>
            <w:shd w:val="clear" w:color="auto" w:fill="auto"/>
            <w:vAlign w:val="center"/>
            <w:hideMark/>
          </w:tcPr>
          <w:p w14:paraId="429C3C58"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45%</w:t>
            </w:r>
          </w:p>
        </w:tc>
        <w:tc>
          <w:tcPr>
            <w:tcW w:w="1055" w:type="dxa"/>
            <w:tcBorders>
              <w:top w:val="single" w:sz="4" w:space="0" w:color="auto"/>
              <w:left w:val="nil"/>
              <w:bottom w:val="single" w:sz="4" w:space="0" w:color="auto"/>
              <w:right w:val="nil"/>
            </w:tcBorders>
            <w:shd w:val="clear" w:color="auto" w:fill="auto"/>
            <w:vAlign w:val="center"/>
            <w:hideMark/>
          </w:tcPr>
          <w:p w14:paraId="7EC3C312"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39%</w:t>
            </w:r>
          </w:p>
        </w:tc>
        <w:tc>
          <w:tcPr>
            <w:tcW w:w="1300" w:type="dxa"/>
            <w:tcBorders>
              <w:top w:val="nil"/>
              <w:left w:val="nil"/>
              <w:bottom w:val="single" w:sz="4" w:space="0" w:color="auto"/>
              <w:right w:val="single" w:sz="4" w:space="0" w:color="auto"/>
            </w:tcBorders>
            <w:shd w:val="clear" w:color="auto" w:fill="auto"/>
            <w:noWrap/>
            <w:vAlign w:val="center"/>
            <w:hideMark/>
          </w:tcPr>
          <w:p w14:paraId="371F9834" w14:textId="77777777" w:rsidR="00C0369A" w:rsidRPr="00C0369A" w:rsidRDefault="00C0369A" w:rsidP="00C0369A">
            <w:pPr>
              <w:jc w:val="center"/>
              <w:rPr>
                <w:rFonts w:ascii="Times Roman" w:hAnsi="Times Roman" w:cs="Calibri"/>
                <w:color w:val="000000"/>
                <w:sz w:val="15"/>
                <w:szCs w:val="15"/>
              </w:rPr>
            </w:pPr>
            <w:r w:rsidRPr="00C0369A">
              <w:rPr>
                <w:rFonts w:ascii="Times Roman" w:hAnsi="Times Roman" w:cs="Calibri"/>
                <w:color w:val="000000"/>
                <w:sz w:val="15"/>
                <w:szCs w:val="15"/>
              </w:rPr>
              <w:t>&lt;0.05</w:t>
            </w:r>
          </w:p>
        </w:tc>
        <w:tc>
          <w:tcPr>
            <w:tcW w:w="36" w:type="dxa"/>
            <w:vAlign w:val="center"/>
            <w:hideMark/>
          </w:tcPr>
          <w:p w14:paraId="521ED6BC" w14:textId="77777777" w:rsidR="00C0369A" w:rsidRPr="00C0369A" w:rsidRDefault="00C0369A" w:rsidP="00C0369A">
            <w:pPr>
              <w:rPr>
                <w:sz w:val="20"/>
                <w:szCs w:val="20"/>
              </w:rPr>
            </w:pPr>
          </w:p>
        </w:tc>
      </w:tr>
      <w:tr w:rsidR="00C0369A" w:rsidRPr="00C0369A" w14:paraId="0EF91D74" w14:textId="77777777" w:rsidTr="00C0369A">
        <w:trPr>
          <w:trHeight w:val="560"/>
        </w:trPr>
        <w:tc>
          <w:tcPr>
            <w:tcW w:w="1494" w:type="dxa"/>
            <w:tcBorders>
              <w:top w:val="nil"/>
              <w:left w:val="single" w:sz="4" w:space="0" w:color="auto"/>
              <w:bottom w:val="single" w:sz="4" w:space="0" w:color="auto"/>
              <w:right w:val="nil"/>
            </w:tcBorders>
            <w:shd w:val="clear" w:color="auto" w:fill="auto"/>
            <w:vAlign w:val="center"/>
            <w:hideMark/>
          </w:tcPr>
          <w:p w14:paraId="7989D371" w14:textId="77777777" w:rsidR="00C0369A" w:rsidRPr="00C0369A" w:rsidRDefault="00C0369A" w:rsidP="00C0369A">
            <w:pPr>
              <w:rPr>
                <w:rFonts w:ascii="Times" w:hAnsi="Times" w:cs="Calibri"/>
                <w:i/>
                <w:iCs/>
                <w:color w:val="000000"/>
                <w:sz w:val="15"/>
                <w:szCs w:val="15"/>
              </w:rPr>
            </w:pPr>
            <w:r w:rsidRPr="00C0369A">
              <w:rPr>
                <w:rFonts w:ascii="Times" w:hAnsi="Times" w:cs="Calibri"/>
                <w:i/>
                <w:iCs/>
                <w:color w:val="000000"/>
                <w:sz w:val="15"/>
                <w:szCs w:val="15"/>
              </w:rPr>
              <w:t>Level of Care</w:t>
            </w:r>
            <w:r w:rsidRPr="00C0369A">
              <w:rPr>
                <w:rFonts w:ascii="Symbol" w:hAnsi="Symbol" w:cs="Calibri"/>
                <w:i/>
                <w:iCs/>
                <w:color w:val="000000"/>
                <w:sz w:val="15"/>
                <w:szCs w:val="15"/>
                <w:vertAlign w:val="superscript"/>
              </w:rPr>
              <w:t></w:t>
            </w:r>
            <w:r w:rsidRPr="00C0369A">
              <w:rPr>
                <w:rFonts w:ascii="Times" w:hAnsi="Times" w:cs="Calibri"/>
                <w:i/>
                <w:iCs/>
                <w:color w:val="000000"/>
                <w:sz w:val="15"/>
                <w:szCs w:val="15"/>
              </w:rPr>
              <w:t xml:space="preserve"> (mean)</w:t>
            </w:r>
          </w:p>
        </w:tc>
        <w:tc>
          <w:tcPr>
            <w:tcW w:w="1055" w:type="dxa"/>
            <w:tcBorders>
              <w:top w:val="nil"/>
              <w:left w:val="nil"/>
              <w:bottom w:val="single" w:sz="4" w:space="0" w:color="auto"/>
              <w:right w:val="nil"/>
            </w:tcBorders>
            <w:shd w:val="clear" w:color="auto" w:fill="auto"/>
            <w:vAlign w:val="center"/>
            <w:hideMark/>
          </w:tcPr>
          <w:p w14:paraId="37819308"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2.6 (0.6)</w:t>
            </w:r>
          </w:p>
        </w:tc>
        <w:tc>
          <w:tcPr>
            <w:tcW w:w="1055" w:type="dxa"/>
            <w:tcBorders>
              <w:top w:val="nil"/>
              <w:left w:val="nil"/>
              <w:bottom w:val="single" w:sz="4" w:space="0" w:color="auto"/>
              <w:right w:val="nil"/>
            </w:tcBorders>
            <w:shd w:val="clear" w:color="auto" w:fill="auto"/>
            <w:vAlign w:val="center"/>
            <w:hideMark/>
          </w:tcPr>
          <w:p w14:paraId="00F272DA"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2.9 (0.3)</w:t>
            </w:r>
          </w:p>
        </w:tc>
        <w:tc>
          <w:tcPr>
            <w:tcW w:w="1057" w:type="dxa"/>
            <w:tcBorders>
              <w:top w:val="nil"/>
              <w:left w:val="nil"/>
              <w:bottom w:val="single" w:sz="4" w:space="0" w:color="auto"/>
              <w:right w:val="nil"/>
            </w:tcBorders>
            <w:shd w:val="clear" w:color="auto" w:fill="auto"/>
            <w:vAlign w:val="center"/>
            <w:hideMark/>
          </w:tcPr>
          <w:p w14:paraId="702CB99C"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2.8 (0.4)</w:t>
            </w:r>
          </w:p>
        </w:tc>
        <w:tc>
          <w:tcPr>
            <w:tcW w:w="1057" w:type="dxa"/>
            <w:tcBorders>
              <w:top w:val="nil"/>
              <w:left w:val="nil"/>
              <w:bottom w:val="single" w:sz="4" w:space="0" w:color="auto"/>
              <w:right w:val="nil"/>
            </w:tcBorders>
            <w:shd w:val="clear" w:color="auto" w:fill="auto"/>
            <w:vAlign w:val="center"/>
            <w:hideMark/>
          </w:tcPr>
          <w:p w14:paraId="7ED97A26"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2.7 (0.5)</w:t>
            </w:r>
          </w:p>
        </w:tc>
        <w:tc>
          <w:tcPr>
            <w:tcW w:w="1057" w:type="dxa"/>
            <w:tcBorders>
              <w:top w:val="nil"/>
              <w:left w:val="nil"/>
              <w:bottom w:val="single" w:sz="4" w:space="0" w:color="auto"/>
              <w:right w:val="nil"/>
            </w:tcBorders>
            <w:shd w:val="clear" w:color="auto" w:fill="auto"/>
            <w:vAlign w:val="center"/>
            <w:hideMark/>
          </w:tcPr>
          <w:p w14:paraId="782FFF82"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2.5 (0.7)</w:t>
            </w:r>
          </w:p>
        </w:tc>
        <w:tc>
          <w:tcPr>
            <w:tcW w:w="1058" w:type="dxa"/>
            <w:tcBorders>
              <w:top w:val="nil"/>
              <w:left w:val="nil"/>
              <w:bottom w:val="single" w:sz="4" w:space="0" w:color="auto"/>
              <w:right w:val="nil"/>
            </w:tcBorders>
            <w:shd w:val="clear" w:color="auto" w:fill="auto"/>
            <w:vAlign w:val="center"/>
            <w:hideMark/>
          </w:tcPr>
          <w:p w14:paraId="646A1A3B"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2.7 (0.6)</w:t>
            </w:r>
          </w:p>
        </w:tc>
        <w:tc>
          <w:tcPr>
            <w:tcW w:w="1056" w:type="dxa"/>
            <w:tcBorders>
              <w:top w:val="nil"/>
              <w:left w:val="nil"/>
              <w:bottom w:val="single" w:sz="4" w:space="0" w:color="auto"/>
              <w:right w:val="nil"/>
            </w:tcBorders>
            <w:shd w:val="clear" w:color="auto" w:fill="auto"/>
            <w:vAlign w:val="center"/>
            <w:hideMark/>
          </w:tcPr>
          <w:p w14:paraId="557D3AF3"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2.8 (0.4)</w:t>
            </w:r>
          </w:p>
        </w:tc>
        <w:tc>
          <w:tcPr>
            <w:tcW w:w="1055" w:type="dxa"/>
            <w:tcBorders>
              <w:top w:val="nil"/>
              <w:left w:val="nil"/>
              <w:bottom w:val="single" w:sz="4" w:space="0" w:color="auto"/>
              <w:right w:val="nil"/>
            </w:tcBorders>
            <w:shd w:val="clear" w:color="auto" w:fill="auto"/>
            <w:vAlign w:val="center"/>
            <w:hideMark/>
          </w:tcPr>
          <w:p w14:paraId="404B5D3C"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2.8 (0.5)</w:t>
            </w:r>
          </w:p>
        </w:tc>
        <w:tc>
          <w:tcPr>
            <w:tcW w:w="1300" w:type="dxa"/>
            <w:tcBorders>
              <w:top w:val="nil"/>
              <w:left w:val="nil"/>
              <w:bottom w:val="single" w:sz="4" w:space="0" w:color="auto"/>
              <w:right w:val="single" w:sz="4" w:space="0" w:color="auto"/>
            </w:tcBorders>
            <w:shd w:val="clear" w:color="auto" w:fill="auto"/>
            <w:noWrap/>
            <w:vAlign w:val="center"/>
            <w:hideMark/>
          </w:tcPr>
          <w:p w14:paraId="2644A249" w14:textId="77777777" w:rsidR="00C0369A" w:rsidRPr="00C0369A" w:rsidRDefault="00C0369A" w:rsidP="00C0369A">
            <w:pPr>
              <w:jc w:val="center"/>
              <w:rPr>
                <w:rFonts w:ascii="Times Roman" w:hAnsi="Times Roman" w:cs="Calibri"/>
                <w:color w:val="000000"/>
                <w:sz w:val="15"/>
                <w:szCs w:val="15"/>
              </w:rPr>
            </w:pPr>
            <w:r w:rsidRPr="00C0369A">
              <w:rPr>
                <w:rFonts w:ascii="Times Roman" w:hAnsi="Times Roman" w:cs="Calibri"/>
                <w:color w:val="000000"/>
                <w:sz w:val="15"/>
                <w:szCs w:val="15"/>
              </w:rPr>
              <w:t>&lt;0.05</w:t>
            </w:r>
          </w:p>
        </w:tc>
        <w:tc>
          <w:tcPr>
            <w:tcW w:w="36" w:type="dxa"/>
            <w:vAlign w:val="center"/>
            <w:hideMark/>
          </w:tcPr>
          <w:p w14:paraId="32129C0B" w14:textId="77777777" w:rsidR="00C0369A" w:rsidRPr="00C0369A" w:rsidRDefault="00C0369A" w:rsidP="00C0369A">
            <w:pPr>
              <w:rPr>
                <w:sz w:val="20"/>
                <w:szCs w:val="20"/>
              </w:rPr>
            </w:pPr>
          </w:p>
        </w:tc>
      </w:tr>
      <w:tr w:rsidR="00C0369A" w:rsidRPr="00C0369A" w14:paraId="41A70598" w14:textId="77777777" w:rsidTr="00C0369A">
        <w:trPr>
          <w:trHeight w:val="560"/>
        </w:trPr>
        <w:tc>
          <w:tcPr>
            <w:tcW w:w="1494" w:type="dxa"/>
            <w:tcBorders>
              <w:top w:val="nil"/>
              <w:left w:val="single" w:sz="4" w:space="0" w:color="auto"/>
              <w:bottom w:val="single" w:sz="4" w:space="0" w:color="auto"/>
              <w:right w:val="nil"/>
            </w:tcBorders>
            <w:shd w:val="clear" w:color="auto" w:fill="auto"/>
            <w:vAlign w:val="center"/>
            <w:hideMark/>
          </w:tcPr>
          <w:p w14:paraId="05EB9B40" w14:textId="77777777" w:rsidR="00C0369A" w:rsidRPr="00C0369A" w:rsidRDefault="00C0369A" w:rsidP="00C0369A">
            <w:pPr>
              <w:rPr>
                <w:rFonts w:ascii="Times" w:hAnsi="Times" w:cs="Calibri"/>
                <w:i/>
                <w:iCs/>
                <w:color w:val="000000"/>
                <w:sz w:val="15"/>
                <w:szCs w:val="15"/>
              </w:rPr>
            </w:pPr>
            <w:r w:rsidRPr="00C0369A">
              <w:rPr>
                <w:rFonts w:ascii="Times" w:hAnsi="Times" w:cs="Calibri"/>
                <w:i/>
                <w:iCs/>
                <w:color w:val="000000"/>
                <w:sz w:val="15"/>
                <w:szCs w:val="15"/>
              </w:rPr>
              <w:t>Substance Abuse during Pregnancy</w:t>
            </w:r>
          </w:p>
        </w:tc>
        <w:tc>
          <w:tcPr>
            <w:tcW w:w="1055" w:type="dxa"/>
            <w:tcBorders>
              <w:top w:val="nil"/>
              <w:left w:val="nil"/>
              <w:bottom w:val="single" w:sz="4" w:space="0" w:color="auto"/>
              <w:right w:val="nil"/>
            </w:tcBorders>
            <w:shd w:val="clear" w:color="auto" w:fill="auto"/>
            <w:vAlign w:val="center"/>
            <w:hideMark/>
          </w:tcPr>
          <w:p w14:paraId="3AAF8AE4"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2.1%</w:t>
            </w:r>
          </w:p>
        </w:tc>
        <w:tc>
          <w:tcPr>
            <w:tcW w:w="1055" w:type="dxa"/>
            <w:tcBorders>
              <w:top w:val="nil"/>
              <w:left w:val="nil"/>
              <w:bottom w:val="single" w:sz="4" w:space="0" w:color="auto"/>
              <w:right w:val="nil"/>
            </w:tcBorders>
            <w:shd w:val="clear" w:color="auto" w:fill="auto"/>
            <w:vAlign w:val="center"/>
            <w:hideMark/>
          </w:tcPr>
          <w:p w14:paraId="7B701FD8"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0.13%</w:t>
            </w:r>
          </w:p>
        </w:tc>
        <w:tc>
          <w:tcPr>
            <w:tcW w:w="1057" w:type="dxa"/>
            <w:tcBorders>
              <w:top w:val="nil"/>
              <w:left w:val="nil"/>
              <w:bottom w:val="single" w:sz="4" w:space="0" w:color="auto"/>
              <w:right w:val="nil"/>
            </w:tcBorders>
            <w:shd w:val="clear" w:color="auto" w:fill="auto"/>
            <w:vAlign w:val="center"/>
            <w:hideMark/>
          </w:tcPr>
          <w:p w14:paraId="1782AB90"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3.2%</w:t>
            </w:r>
          </w:p>
        </w:tc>
        <w:tc>
          <w:tcPr>
            <w:tcW w:w="1057" w:type="dxa"/>
            <w:tcBorders>
              <w:top w:val="nil"/>
              <w:left w:val="nil"/>
              <w:bottom w:val="single" w:sz="4" w:space="0" w:color="auto"/>
              <w:right w:val="nil"/>
            </w:tcBorders>
            <w:shd w:val="clear" w:color="auto" w:fill="auto"/>
            <w:vAlign w:val="center"/>
            <w:hideMark/>
          </w:tcPr>
          <w:p w14:paraId="0AFC842A"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0.1%</w:t>
            </w:r>
          </w:p>
        </w:tc>
        <w:tc>
          <w:tcPr>
            <w:tcW w:w="1057" w:type="dxa"/>
            <w:tcBorders>
              <w:top w:val="nil"/>
              <w:left w:val="nil"/>
              <w:bottom w:val="single" w:sz="4" w:space="0" w:color="auto"/>
              <w:right w:val="nil"/>
            </w:tcBorders>
            <w:shd w:val="clear" w:color="auto" w:fill="auto"/>
            <w:vAlign w:val="center"/>
            <w:hideMark/>
          </w:tcPr>
          <w:p w14:paraId="1466F25D"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1.1%</w:t>
            </w:r>
          </w:p>
        </w:tc>
        <w:tc>
          <w:tcPr>
            <w:tcW w:w="1058" w:type="dxa"/>
            <w:tcBorders>
              <w:top w:val="nil"/>
              <w:left w:val="nil"/>
              <w:bottom w:val="single" w:sz="4" w:space="0" w:color="auto"/>
              <w:right w:val="nil"/>
            </w:tcBorders>
            <w:shd w:val="clear" w:color="auto" w:fill="auto"/>
            <w:vAlign w:val="center"/>
            <w:hideMark/>
          </w:tcPr>
          <w:p w14:paraId="4C6C889D"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12%</w:t>
            </w:r>
          </w:p>
        </w:tc>
        <w:tc>
          <w:tcPr>
            <w:tcW w:w="1056" w:type="dxa"/>
            <w:tcBorders>
              <w:top w:val="nil"/>
              <w:left w:val="nil"/>
              <w:bottom w:val="single" w:sz="4" w:space="0" w:color="auto"/>
              <w:right w:val="nil"/>
            </w:tcBorders>
            <w:shd w:val="clear" w:color="auto" w:fill="auto"/>
            <w:vAlign w:val="center"/>
            <w:hideMark/>
          </w:tcPr>
          <w:p w14:paraId="7AC1DD07"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4.3%</w:t>
            </w:r>
          </w:p>
        </w:tc>
        <w:tc>
          <w:tcPr>
            <w:tcW w:w="1055" w:type="dxa"/>
            <w:tcBorders>
              <w:top w:val="nil"/>
              <w:left w:val="nil"/>
              <w:bottom w:val="single" w:sz="4" w:space="0" w:color="auto"/>
              <w:right w:val="nil"/>
            </w:tcBorders>
            <w:shd w:val="clear" w:color="auto" w:fill="auto"/>
            <w:vAlign w:val="center"/>
            <w:hideMark/>
          </w:tcPr>
          <w:p w14:paraId="7A494841"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2%</w:t>
            </w:r>
          </w:p>
        </w:tc>
        <w:tc>
          <w:tcPr>
            <w:tcW w:w="1300" w:type="dxa"/>
            <w:tcBorders>
              <w:top w:val="nil"/>
              <w:left w:val="nil"/>
              <w:bottom w:val="single" w:sz="4" w:space="0" w:color="auto"/>
              <w:right w:val="single" w:sz="4" w:space="0" w:color="auto"/>
            </w:tcBorders>
            <w:shd w:val="clear" w:color="auto" w:fill="auto"/>
            <w:noWrap/>
            <w:vAlign w:val="center"/>
            <w:hideMark/>
          </w:tcPr>
          <w:p w14:paraId="6865E969" w14:textId="77777777" w:rsidR="00C0369A" w:rsidRPr="00C0369A" w:rsidRDefault="00C0369A" w:rsidP="00C0369A">
            <w:pPr>
              <w:jc w:val="center"/>
              <w:rPr>
                <w:rFonts w:ascii="Times Roman" w:hAnsi="Times Roman" w:cs="Calibri"/>
                <w:color w:val="000000"/>
                <w:sz w:val="15"/>
                <w:szCs w:val="15"/>
              </w:rPr>
            </w:pPr>
            <w:r w:rsidRPr="00C0369A">
              <w:rPr>
                <w:rFonts w:ascii="Times Roman" w:hAnsi="Times Roman" w:cs="Calibri"/>
                <w:color w:val="000000"/>
                <w:sz w:val="15"/>
                <w:szCs w:val="15"/>
              </w:rPr>
              <w:t>&lt;0.05</w:t>
            </w:r>
          </w:p>
        </w:tc>
        <w:tc>
          <w:tcPr>
            <w:tcW w:w="36" w:type="dxa"/>
            <w:vAlign w:val="center"/>
            <w:hideMark/>
          </w:tcPr>
          <w:p w14:paraId="28B84E77" w14:textId="77777777" w:rsidR="00C0369A" w:rsidRPr="00C0369A" w:rsidRDefault="00C0369A" w:rsidP="00C0369A">
            <w:pPr>
              <w:rPr>
                <w:sz w:val="20"/>
                <w:szCs w:val="20"/>
              </w:rPr>
            </w:pPr>
          </w:p>
        </w:tc>
      </w:tr>
      <w:tr w:rsidR="00C0369A" w:rsidRPr="00C0369A" w14:paraId="7FE4240F" w14:textId="77777777" w:rsidTr="00C0369A">
        <w:trPr>
          <w:trHeight w:val="560"/>
        </w:trPr>
        <w:tc>
          <w:tcPr>
            <w:tcW w:w="1494" w:type="dxa"/>
            <w:tcBorders>
              <w:top w:val="nil"/>
              <w:left w:val="single" w:sz="4" w:space="0" w:color="auto"/>
              <w:bottom w:val="single" w:sz="4" w:space="0" w:color="auto"/>
              <w:right w:val="nil"/>
            </w:tcBorders>
            <w:shd w:val="clear" w:color="auto" w:fill="auto"/>
            <w:vAlign w:val="center"/>
            <w:hideMark/>
          </w:tcPr>
          <w:p w14:paraId="3F8E744E" w14:textId="77777777" w:rsidR="00C0369A" w:rsidRPr="00C0369A" w:rsidRDefault="00C0369A" w:rsidP="00C0369A">
            <w:pPr>
              <w:rPr>
                <w:rFonts w:ascii="Times" w:hAnsi="Times" w:cs="Calibri"/>
                <w:i/>
                <w:iCs/>
                <w:color w:val="000000"/>
                <w:sz w:val="15"/>
                <w:szCs w:val="15"/>
              </w:rPr>
            </w:pPr>
            <w:r w:rsidRPr="00C0369A">
              <w:rPr>
                <w:rFonts w:ascii="Times" w:hAnsi="Times" w:cs="Calibri"/>
                <w:i/>
                <w:iCs/>
                <w:color w:val="000000"/>
                <w:sz w:val="15"/>
                <w:szCs w:val="15"/>
              </w:rPr>
              <w:t>Smoking during Pregnancy</w:t>
            </w:r>
          </w:p>
        </w:tc>
        <w:tc>
          <w:tcPr>
            <w:tcW w:w="1055" w:type="dxa"/>
            <w:tcBorders>
              <w:top w:val="nil"/>
              <w:left w:val="nil"/>
              <w:bottom w:val="single" w:sz="4" w:space="0" w:color="auto"/>
              <w:right w:val="nil"/>
            </w:tcBorders>
            <w:shd w:val="clear" w:color="auto" w:fill="auto"/>
            <w:vAlign w:val="center"/>
            <w:hideMark/>
          </w:tcPr>
          <w:p w14:paraId="5710B73D"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6.8%</w:t>
            </w:r>
          </w:p>
        </w:tc>
        <w:tc>
          <w:tcPr>
            <w:tcW w:w="1055" w:type="dxa"/>
            <w:tcBorders>
              <w:top w:val="nil"/>
              <w:left w:val="nil"/>
              <w:bottom w:val="single" w:sz="4" w:space="0" w:color="auto"/>
              <w:right w:val="nil"/>
            </w:tcBorders>
            <w:shd w:val="clear" w:color="auto" w:fill="auto"/>
            <w:vAlign w:val="center"/>
            <w:hideMark/>
          </w:tcPr>
          <w:p w14:paraId="3752965F"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0.47%</w:t>
            </w:r>
          </w:p>
        </w:tc>
        <w:tc>
          <w:tcPr>
            <w:tcW w:w="1057" w:type="dxa"/>
            <w:tcBorders>
              <w:top w:val="nil"/>
              <w:left w:val="nil"/>
              <w:bottom w:val="single" w:sz="4" w:space="0" w:color="auto"/>
              <w:right w:val="nil"/>
            </w:tcBorders>
            <w:shd w:val="clear" w:color="auto" w:fill="auto"/>
            <w:vAlign w:val="center"/>
            <w:hideMark/>
          </w:tcPr>
          <w:p w14:paraId="765F93F9"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6.1%</w:t>
            </w:r>
          </w:p>
        </w:tc>
        <w:tc>
          <w:tcPr>
            <w:tcW w:w="1057" w:type="dxa"/>
            <w:tcBorders>
              <w:top w:val="nil"/>
              <w:left w:val="nil"/>
              <w:bottom w:val="single" w:sz="4" w:space="0" w:color="auto"/>
              <w:right w:val="nil"/>
            </w:tcBorders>
            <w:shd w:val="clear" w:color="auto" w:fill="auto"/>
            <w:vAlign w:val="center"/>
            <w:hideMark/>
          </w:tcPr>
          <w:p w14:paraId="4BBCB303"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7.6%</w:t>
            </w:r>
          </w:p>
        </w:tc>
        <w:tc>
          <w:tcPr>
            <w:tcW w:w="1057" w:type="dxa"/>
            <w:tcBorders>
              <w:top w:val="nil"/>
              <w:left w:val="nil"/>
              <w:bottom w:val="single" w:sz="4" w:space="0" w:color="auto"/>
              <w:right w:val="nil"/>
            </w:tcBorders>
            <w:shd w:val="clear" w:color="auto" w:fill="auto"/>
            <w:vAlign w:val="center"/>
            <w:hideMark/>
          </w:tcPr>
          <w:p w14:paraId="212C6829"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1.7%</w:t>
            </w:r>
          </w:p>
        </w:tc>
        <w:tc>
          <w:tcPr>
            <w:tcW w:w="1058" w:type="dxa"/>
            <w:tcBorders>
              <w:top w:val="nil"/>
              <w:left w:val="nil"/>
              <w:bottom w:val="single" w:sz="4" w:space="0" w:color="auto"/>
              <w:right w:val="nil"/>
            </w:tcBorders>
            <w:shd w:val="clear" w:color="auto" w:fill="auto"/>
            <w:vAlign w:val="center"/>
            <w:hideMark/>
          </w:tcPr>
          <w:p w14:paraId="3FA4C037"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13%</w:t>
            </w:r>
          </w:p>
        </w:tc>
        <w:tc>
          <w:tcPr>
            <w:tcW w:w="1056" w:type="dxa"/>
            <w:tcBorders>
              <w:top w:val="nil"/>
              <w:left w:val="nil"/>
              <w:bottom w:val="single" w:sz="4" w:space="0" w:color="auto"/>
              <w:right w:val="nil"/>
            </w:tcBorders>
            <w:shd w:val="clear" w:color="auto" w:fill="auto"/>
            <w:vAlign w:val="center"/>
            <w:hideMark/>
          </w:tcPr>
          <w:p w14:paraId="2E6ED739"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9.1%</w:t>
            </w:r>
          </w:p>
        </w:tc>
        <w:tc>
          <w:tcPr>
            <w:tcW w:w="1055" w:type="dxa"/>
            <w:tcBorders>
              <w:top w:val="nil"/>
              <w:left w:val="nil"/>
              <w:bottom w:val="single" w:sz="4" w:space="0" w:color="auto"/>
              <w:right w:val="nil"/>
            </w:tcBorders>
            <w:shd w:val="clear" w:color="auto" w:fill="auto"/>
            <w:vAlign w:val="center"/>
            <w:hideMark/>
          </w:tcPr>
          <w:p w14:paraId="6D4365FE"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4.8%</w:t>
            </w:r>
          </w:p>
        </w:tc>
        <w:tc>
          <w:tcPr>
            <w:tcW w:w="1300" w:type="dxa"/>
            <w:tcBorders>
              <w:top w:val="nil"/>
              <w:left w:val="nil"/>
              <w:bottom w:val="single" w:sz="4" w:space="0" w:color="auto"/>
              <w:right w:val="single" w:sz="4" w:space="0" w:color="auto"/>
            </w:tcBorders>
            <w:shd w:val="clear" w:color="auto" w:fill="auto"/>
            <w:noWrap/>
            <w:vAlign w:val="center"/>
            <w:hideMark/>
          </w:tcPr>
          <w:p w14:paraId="4DACBBA1" w14:textId="77777777" w:rsidR="00C0369A" w:rsidRPr="00C0369A" w:rsidRDefault="00C0369A" w:rsidP="00C0369A">
            <w:pPr>
              <w:jc w:val="center"/>
              <w:rPr>
                <w:rFonts w:ascii="Times Roman" w:hAnsi="Times Roman" w:cs="Calibri"/>
                <w:color w:val="000000"/>
                <w:sz w:val="15"/>
                <w:szCs w:val="15"/>
              </w:rPr>
            </w:pPr>
            <w:r w:rsidRPr="00C0369A">
              <w:rPr>
                <w:rFonts w:ascii="Times Roman" w:hAnsi="Times Roman" w:cs="Calibri"/>
                <w:color w:val="000000"/>
                <w:sz w:val="15"/>
                <w:szCs w:val="15"/>
              </w:rPr>
              <w:t>&lt;0.05</w:t>
            </w:r>
          </w:p>
        </w:tc>
        <w:tc>
          <w:tcPr>
            <w:tcW w:w="36" w:type="dxa"/>
            <w:vAlign w:val="center"/>
            <w:hideMark/>
          </w:tcPr>
          <w:p w14:paraId="76A70127" w14:textId="77777777" w:rsidR="00C0369A" w:rsidRPr="00C0369A" w:rsidRDefault="00C0369A" w:rsidP="00C0369A">
            <w:pPr>
              <w:rPr>
                <w:sz w:val="20"/>
                <w:szCs w:val="20"/>
              </w:rPr>
            </w:pPr>
          </w:p>
        </w:tc>
      </w:tr>
      <w:tr w:rsidR="00C0369A" w:rsidRPr="00C0369A" w14:paraId="628DE86B" w14:textId="77777777" w:rsidTr="00C0369A">
        <w:trPr>
          <w:trHeight w:val="560"/>
        </w:trPr>
        <w:tc>
          <w:tcPr>
            <w:tcW w:w="1494" w:type="dxa"/>
            <w:tcBorders>
              <w:top w:val="nil"/>
              <w:left w:val="single" w:sz="4" w:space="0" w:color="auto"/>
              <w:bottom w:val="single" w:sz="4" w:space="0" w:color="auto"/>
              <w:right w:val="nil"/>
            </w:tcBorders>
            <w:shd w:val="clear" w:color="auto" w:fill="auto"/>
            <w:vAlign w:val="center"/>
            <w:hideMark/>
          </w:tcPr>
          <w:p w14:paraId="6E484D0E" w14:textId="77777777" w:rsidR="00C0369A" w:rsidRPr="00C0369A" w:rsidRDefault="00C0369A" w:rsidP="00C0369A">
            <w:pPr>
              <w:rPr>
                <w:rFonts w:ascii="Times" w:hAnsi="Times" w:cs="Calibri"/>
                <w:i/>
                <w:iCs/>
                <w:color w:val="000000"/>
                <w:sz w:val="15"/>
                <w:szCs w:val="15"/>
              </w:rPr>
            </w:pPr>
            <w:r w:rsidRPr="00C0369A">
              <w:rPr>
                <w:rFonts w:ascii="Times" w:hAnsi="Times" w:cs="Calibri"/>
                <w:i/>
                <w:iCs/>
                <w:color w:val="000000"/>
                <w:sz w:val="15"/>
                <w:szCs w:val="15"/>
              </w:rPr>
              <w:t>Pre-Pregnancy Diabetes</w:t>
            </w:r>
          </w:p>
        </w:tc>
        <w:tc>
          <w:tcPr>
            <w:tcW w:w="1055" w:type="dxa"/>
            <w:tcBorders>
              <w:top w:val="nil"/>
              <w:left w:val="nil"/>
              <w:bottom w:val="single" w:sz="4" w:space="0" w:color="auto"/>
              <w:right w:val="nil"/>
            </w:tcBorders>
            <w:shd w:val="clear" w:color="auto" w:fill="auto"/>
            <w:vAlign w:val="center"/>
            <w:hideMark/>
          </w:tcPr>
          <w:p w14:paraId="66C10ACB"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1.3%</w:t>
            </w:r>
          </w:p>
        </w:tc>
        <w:tc>
          <w:tcPr>
            <w:tcW w:w="1055" w:type="dxa"/>
            <w:tcBorders>
              <w:top w:val="nil"/>
              <w:left w:val="nil"/>
              <w:bottom w:val="single" w:sz="4" w:space="0" w:color="auto"/>
              <w:right w:val="nil"/>
            </w:tcBorders>
            <w:shd w:val="clear" w:color="auto" w:fill="auto"/>
            <w:vAlign w:val="center"/>
            <w:hideMark/>
          </w:tcPr>
          <w:p w14:paraId="16C7FF91"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1.8%</w:t>
            </w:r>
          </w:p>
        </w:tc>
        <w:tc>
          <w:tcPr>
            <w:tcW w:w="1057" w:type="dxa"/>
            <w:tcBorders>
              <w:top w:val="nil"/>
              <w:left w:val="nil"/>
              <w:bottom w:val="single" w:sz="4" w:space="0" w:color="auto"/>
              <w:right w:val="nil"/>
            </w:tcBorders>
            <w:shd w:val="clear" w:color="auto" w:fill="auto"/>
            <w:vAlign w:val="center"/>
            <w:hideMark/>
          </w:tcPr>
          <w:p w14:paraId="11A40DC8"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1.7%</w:t>
            </w:r>
          </w:p>
        </w:tc>
        <w:tc>
          <w:tcPr>
            <w:tcW w:w="1057" w:type="dxa"/>
            <w:tcBorders>
              <w:top w:val="nil"/>
              <w:left w:val="nil"/>
              <w:bottom w:val="single" w:sz="4" w:space="0" w:color="auto"/>
              <w:right w:val="nil"/>
            </w:tcBorders>
            <w:shd w:val="clear" w:color="auto" w:fill="auto"/>
            <w:vAlign w:val="center"/>
            <w:hideMark/>
          </w:tcPr>
          <w:p w14:paraId="5DB17CA8"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3.4%</w:t>
            </w:r>
          </w:p>
        </w:tc>
        <w:tc>
          <w:tcPr>
            <w:tcW w:w="1057" w:type="dxa"/>
            <w:tcBorders>
              <w:top w:val="nil"/>
              <w:left w:val="nil"/>
              <w:bottom w:val="single" w:sz="4" w:space="0" w:color="auto"/>
              <w:right w:val="nil"/>
            </w:tcBorders>
            <w:shd w:val="clear" w:color="auto" w:fill="auto"/>
            <w:vAlign w:val="center"/>
            <w:hideMark/>
          </w:tcPr>
          <w:p w14:paraId="7D083269"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2.1%</w:t>
            </w:r>
          </w:p>
        </w:tc>
        <w:tc>
          <w:tcPr>
            <w:tcW w:w="1058" w:type="dxa"/>
            <w:tcBorders>
              <w:top w:val="nil"/>
              <w:left w:val="nil"/>
              <w:bottom w:val="single" w:sz="4" w:space="0" w:color="auto"/>
              <w:right w:val="nil"/>
            </w:tcBorders>
            <w:shd w:val="clear" w:color="auto" w:fill="auto"/>
            <w:vAlign w:val="center"/>
            <w:hideMark/>
          </w:tcPr>
          <w:p w14:paraId="3E82F03D"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3.5%</w:t>
            </w:r>
          </w:p>
        </w:tc>
        <w:tc>
          <w:tcPr>
            <w:tcW w:w="1056" w:type="dxa"/>
            <w:tcBorders>
              <w:top w:val="nil"/>
              <w:left w:val="nil"/>
              <w:bottom w:val="single" w:sz="4" w:space="0" w:color="auto"/>
              <w:right w:val="nil"/>
            </w:tcBorders>
            <w:shd w:val="clear" w:color="auto" w:fill="auto"/>
            <w:vAlign w:val="center"/>
            <w:hideMark/>
          </w:tcPr>
          <w:p w14:paraId="40472502"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1.3%</w:t>
            </w:r>
          </w:p>
        </w:tc>
        <w:tc>
          <w:tcPr>
            <w:tcW w:w="1055" w:type="dxa"/>
            <w:tcBorders>
              <w:top w:val="nil"/>
              <w:left w:val="nil"/>
              <w:bottom w:val="single" w:sz="4" w:space="0" w:color="auto"/>
              <w:right w:val="nil"/>
            </w:tcBorders>
            <w:shd w:val="clear" w:color="auto" w:fill="auto"/>
            <w:vAlign w:val="center"/>
            <w:hideMark/>
          </w:tcPr>
          <w:p w14:paraId="04639732"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1.9%</w:t>
            </w:r>
          </w:p>
        </w:tc>
        <w:tc>
          <w:tcPr>
            <w:tcW w:w="1300" w:type="dxa"/>
            <w:tcBorders>
              <w:top w:val="nil"/>
              <w:left w:val="nil"/>
              <w:bottom w:val="single" w:sz="4" w:space="0" w:color="auto"/>
              <w:right w:val="single" w:sz="4" w:space="0" w:color="auto"/>
            </w:tcBorders>
            <w:shd w:val="clear" w:color="auto" w:fill="auto"/>
            <w:noWrap/>
            <w:vAlign w:val="center"/>
            <w:hideMark/>
          </w:tcPr>
          <w:p w14:paraId="7BAC07FE" w14:textId="77777777" w:rsidR="00C0369A" w:rsidRPr="00C0369A" w:rsidRDefault="00C0369A" w:rsidP="00C0369A">
            <w:pPr>
              <w:jc w:val="center"/>
              <w:rPr>
                <w:rFonts w:ascii="Times Roman" w:hAnsi="Times Roman" w:cs="Calibri"/>
                <w:color w:val="000000"/>
                <w:sz w:val="15"/>
                <w:szCs w:val="15"/>
              </w:rPr>
            </w:pPr>
            <w:r w:rsidRPr="00C0369A">
              <w:rPr>
                <w:rFonts w:ascii="Times Roman" w:hAnsi="Times Roman" w:cs="Calibri"/>
                <w:color w:val="000000"/>
                <w:sz w:val="15"/>
                <w:szCs w:val="15"/>
              </w:rPr>
              <w:t>&lt;0.05</w:t>
            </w:r>
          </w:p>
        </w:tc>
        <w:tc>
          <w:tcPr>
            <w:tcW w:w="36" w:type="dxa"/>
            <w:vAlign w:val="center"/>
            <w:hideMark/>
          </w:tcPr>
          <w:p w14:paraId="11BB8945" w14:textId="77777777" w:rsidR="00C0369A" w:rsidRPr="00C0369A" w:rsidRDefault="00C0369A" w:rsidP="00C0369A">
            <w:pPr>
              <w:rPr>
                <w:sz w:val="20"/>
                <w:szCs w:val="20"/>
              </w:rPr>
            </w:pPr>
          </w:p>
        </w:tc>
      </w:tr>
      <w:tr w:rsidR="00C0369A" w:rsidRPr="00C0369A" w14:paraId="04E22EA4" w14:textId="77777777" w:rsidTr="00C0369A">
        <w:trPr>
          <w:trHeight w:val="560"/>
        </w:trPr>
        <w:tc>
          <w:tcPr>
            <w:tcW w:w="1494" w:type="dxa"/>
            <w:tcBorders>
              <w:top w:val="nil"/>
              <w:left w:val="single" w:sz="4" w:space="0" w:color="auto"/>
              <w:bottom w:val="single" w:sz="4" w:space="0" w:color="auto"/>
              <w:right w:val="nil"/>
            </w:tcBorders>
            <w:shd w:val="clear" w:color="auto" w:fill="auto"/>
            <w:vAlign w:val="center"/>
            <w:hideMark/>
          </w:tcPr>
          <w:p w14:paraId="791A2E3B" w14:textId="77777777" w:rsidR="00C0369A" w:rsidRPr="00C0369A" w:rsidRDefault="00C0369A" w:rsidP="00C0369A">
            <w:pPr>
              <w:rPr>
                <w:rFonts w:ascii="Times" w:hAnsi="Times" w:cs="Calibri"/>
                <w:i/>
                <w:iCs/>
                <w:color w:val="000000"/>
                <w:sz w:val="15"/>
                <w:szCs w:val="15"/>
              </w:rPr>
            </w:pPr>
            <w:r w:rsidRPr="00C0369A">
              <w:rPr>
                <w:rFonts w:ascii="Times" w:hAnsi="Times" w:cs="Calibri"/>
                <w:i/>
                <w:iCs/>
                <w:color w:val="000000"/>
                <w:sz w:val="15"/>
                <w:szCs w:val="15"/>
              </w:rPr>
              <w:t>Gestational Diabetes</w:t>
            </w:r>
          </w:p>
        </w:tc>
        <w:tc>
          <w:tcPr>
            <w:tcW w:w="1055" w:type="dxa"/>
            <w:tcBorders>
              <w:top w:val="nil"/>
              <w:left w:val="nil"/>
              <w:bottom w:val="single" w:sz="4" w:space="0" w:color="auto"/>
              <w:right w:val="nil"/>
            </w:tcBorders>
            <w:shd w:val="clear" w:color="auto" w:fill="auto"/>
            <w:vAlign w:val="center"/>
            <w:hideMark/>
          </w:tcPr>
          <w:p w14:paraId="7C6C73B5"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7.9%</w:t>
            </w:r>
          </w:p>
        </w:tc>
        <w:tc>
          <w:tcPr>
            <w:tcW w:w="1055" w:type="dxa"/>
            <w:tcBorders>
              <w:top w:val="nil"/>
              <w:left w:val="nil"/>
              <w:bottom w:val="single" w:sz="4" w:space="0" w:color="auto"/>
              <w:right w:val="nil"/>
            </w:tcBorders>
            <w:shd w:val="clear" w:color="auto" w:fill="auto"/>
            <w:vAlign w:val="center"/>
            <w:hideMark/>
          </w:tcPr>
          <w:p w14:paraId="679FE4B5"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18%</w:t>
            </w:r>
          </w:p>
        </w:tc>
        <w:tc>
          <w:tcPr>
            <w:tcW w:w="1057" w:type="dxa"/>
            <w:tcBorders>
              <w:top w:val="nil"/>
              <w:left w:val="nil"/>
              <w:bottom w:val="single" w:sz="4" w:space="0" w:color="auto"/>
              <w:right w:val="nil"/>
            </w:tcBorders>
            <w:shd w:val="clear" w:color="auto" w:fill="auto"/>
            <w:vAlign w:val="center"/>
            <w:hideMark/>
          </w:tcPr>
          <w:p w14:paraId="7C15DAA1"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9.4%</w:t>
            </w:r>
          </w:p>
        </w:tc>
        <w:tc>
          <w:tcPr>
            <w:tcW w:w="1057" w:type="dxa"/>
            <w:tcBorders>
              <w:top w:val="nil"/>
              <w:left w:val="nil"/>
              <w:bottom w:val="single" w:sz="4" w:space="0" w:color="auto"/>
              <w:right w:val="nil"/>
            </w:tcBorders>
            <w:shd w:val="clear" w:color="auto" w:fill="auto"/>
            <w:vAlign w:val="center"/>
            <w:hideMark/>
          </w:tcPr>
          <w:p w14:paraId="6D713B63"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13%</w:t>
            </w:r>
          </w:p>
        </w:tc>
        <w:tc>
          <w:tcPr>
            <w:tcW w:w="1057" w:type="dxa"/>
            <w:tcBorders>
              <w:top w:val="nil"/>
              <w:left w:val="nil"/>
              <w:bottom w:val="single" w:sz="4" w:space="0" w:color="auto"/>
              <w:right w:val="nil"/>
            </w:tcBorders>
            <w:shd w:val="clear" w:color="auto" w:fill="auto"/>
            <w:vAlign w:val="center"/>
            <w:hideMark/>
          </w:tcPr>
          <w:p w14:paraId="2C002A32"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11%</w:t>
            </w:r>
          </w:p>
        </w:tc>
        <w:tc>
          <w:tcPr>
            <w:tcW w:w="1058" w:type="dxa"/>
            <w:tcBorders>
              <w:top w:val="nil"/>
              <w:left w:val="nil"/>
              <w:bottom w:val="single" w:sz="4" w:space="0" w:color="auto"/>
              <w:right w:val="nil"/>
            </w:tcBorders>
            <w:shd w:val="clear" w:color="auto" w:fill="auto"/>
            <w:vAlign w:val="center"/>
            <w:hideMark/>
          </w:tcPr>
          <w:p w14:paraId="1D5F82ED"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7.3%</w:t>
            </w:r>
          </w:p>
        </w:tc>
        <w:tc>
          <w:tcPr>
            <w:tcW w:w="1056" w:type="dxa"/>
            <w:tcBorders>
              <w:top w:val="nil"/>
              <w:left w:val="nil"/>
              <w:bottom w:val="single" w:sz="4" w:space="0" w:color="auto"/>
              <w:right w:val="nil"/>
            </w:tcBorders>
            <w:shd w:val="clear" w:color="auto" w:fill="auto"/>
            <w:vAlign w:val="center"/>
            <w:hideMark/>
          </w:tcPr>
          <w:p w14:paraId="742E91DD"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7.8%</w:t>
            </w:r>
          </w:p>
        </w:tc>
        <w:tc>
          <w:tcPr>
            <w:tcW w:w="1055" w:type="dxa"/>
            <w:tcBorders>
              <w:top w:val="nil"/>
              <w:left w:val="nil"/>
              <w:bottom w:val="single" w:sz="4" w:space="0" w:color="auto"/>
              <w:right w:val="nil"/>
            </w:tcBorders>
            <w:shd w:val="clear" w:color="auto" w:fill="auto"/>
            <w:vAlign w:val="center"/>
            <w:hideMark/>
          </w:tcPr>
          <w:p w14:paraId="399ECE56"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8.9%</w:t>
            </w:r>
          </w:p>
        </w:tc>
        <w:tc>
          <w:tcPr>
            <w:tcW w:w="1300" w:type="dxa"/>
            <w:tcBorders>
              <w:top w:val="nil"/>
              <w:left w:val="nil"/>
              <w:bottom w:val="single" w:sz="4" w:space="0" w:color="auto"/>
              <w:right w:val="single" w:sz="4" w:space="0" w:color="auto"/>
            </w:tcBorders>
            <w:shd w:val="clear" w:color="auto" w:fill="auto"/>
            <w:noWrap/>
            <w:vAlign w:val="center"/>
            <w:hideMark/>
          </w:tcPr>
          <w:p w14:paraId="1C5E873F" w14:textId="77777777" w:rsidR="00C0369A" w:rsidRPr="00C0369A" w:rsidRDefault="00C0369A" w:rsidP="00C0369A">
            <w:pPr>
              <w:jc w:val="center"/>
              <w:rPr>
                <w:rFonts w:ascii="Times Roman" w:hAnsi="Times Roman" w:cs="Calibri"/>
                <w:color w:val="000000"/>
                <w:sz w:val="15"/>
                <w:szCs w:val="15"/>
              </w:rPr>
            </w:pPr>
            <w:r w:rsidRPr="00C0369A">
              <w:rPr>
                <w:rFonts w:ascii="Times Roman" w:hAnsi="Times Roman" w:cs="Calibri"/>
                <w:color w:val="000000"/>
                <w:sz w:val="15"/>
                <w:szCs w:val="15"/>
              </w:rPr>
              <w:t>&lt;0.05</w:t>
            </w:r>
          </w:p>
        </w:tc>
        <w:tc>
          <w:tcPr>
            <w:tcW w:w="36" w:type="dxa"/>
            <w:vAlign w:val="center"/>
            <w:hideMark/>
          </w:tcPr>
          <w:p w14:paraId="717732BB" w14:textId="77777777" w:rsidR="00C0369A" w:rsidRPr="00C0369A" w:rsidRDefault="00C0369A" w:rsidP="00C0369A">
            <w:pPr>
              <w:rPr>
                <w:sz w:val="20"/>
                <w:szCs w:val="20"/>
              </w:rPr>
            </w:pPr>
          </w:p>
        </w:tc>
      </w:tr>
      <w:tr w:rsidR="00C0369A" w:rsidRPr="00C0369A" w14:paraId="046B52DD" w14:textId="77777777" w:rsidTr="00C0369A">
        <w:trPr>
          <w:trHeight w:val="560"/>
        </w:trPr>
        <w:tc>
          <w:tcPr>
            <w:tcW w:w="1494" w:type="dxa"/>
            <w:tcBorders>
              <w:top w:val="nil"/>
              <w:left w:val="single" w:sz="4" w:space="0" w:color="auto"/>
              <w:bottom w:val="single" w:sz="4" w:space="0" w:color="auto"/>
              <w:right w:val="nil"/>
            </w:tcBorders>
            <w:shd w:val="clear" w:color="auto" w:fill="auto"/>
            <w:vAlign w:val="center"/>
            <w:hideMark/>
          </w:tcPr>
          <w:p w14:paraId="7424030C" w14:textId="77777777" w:rsidR="00C0369A" w:rsidRPr="00C0369A" w:rsidRDefault="00C0369A" w:rsidP="00C0369A">
            <w:pPr>
              <w:rPr>
                <w:rFonts w:ascii="Times" w:hAnsi="Times" w:cs="Calibri"/>
                <w:i/>
                <w:iCs/>
                <w:color w:val="000000"/>
                <w:sz w:val="15"/>
                <w:szCs w:val="15"/>
              </w:rPr>
            </w:pPr>
            <w:r w:rsidRPr="00C0369A">
              <w:rPr>
                <w:rFonts w:ascii="Times" w:hAnsi="Times" w:cs="Calibri"/>
                <w:i/>
                <w:iCs/>
                <w:color w:val="000000"/>
                <w:sz w:val="15"/>
                <w:szCs w:val="15"/>
              </w:rPr>
              <w:t>History of Cesarean Section</w:t>
            </w:r>
          </w:p>
        </w:tc>
        <w:tc>
          <w:tcPr>
            <w:tcW w:w="1055" w:type="dxa"/>
            <w:tcBorders>
              <w:top w:val="nil"/>
              <w:left w:val="nil"/>
              <w:bottom w:val="single" w:sz="4" w:space="0" w:color="auto"/>
              <w:right w:val="nil"/>
            </w:tcBorders>
            <w:shd w:val="clear" w:color="auto" w:fill="auto"/>
            <w:vAlign w:val="center"/>
            <w:hideMark/>
          </w:tcPr>
          <w:p w14:paraId="2495C96A"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17%</w:t>
            </w:r>
          </w:p>
        </w:tc>
        <w:tc>
          <w:tcPr>
            <w:tcW w:w="1055" w:type="dxa"/>
            <w:tcBorders>
              <w:top w:val="nil"/>
              <w:left w:val="nil"/>
              <w:bottom w:val="single" w:sz="4" w:space="0" w:color="auto"/>
              <w:right w:val="nil"/>
            </w:tcBorders>
            <w:shd w:val="clear" w:color="auto" w:fill="auto"/>
            <w:vAlign w:val="center"/>
            <w:hideMark/>
          </w:tcPr>
          <w:p w14:paraId="215CAA45"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18%</w:t>
            </w:r>
          </w:p>
        </w:tc>
        <w:tc>
          <w:tcPr>
            <w:tcW w:w="1057" w:type="dxa"/>
            <w:tcBorders>
              <w:top w:val="nil"/>
              <w:left w:val="nil"/>
              <w:bottom w:val="single" w:sz="4" w:space="0" w:color="auto"/>
              <w:right w:val="nil"/>
            </w:tcBorders>
            <w:shd w:val="clear" w:color="auto" w:fill="auto"/>
            <w:vAlign w:val="center"/>
            <w:hideMark/>
          </w:tcPr>
          <w:p w14:paraId="7AFCECD5"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22%</w:t>
            </w:r>
          </w:p>
        </w:tc>
        <w:tc>
          <w:tcPr>
            <w:tcW w:w="1057" w:type="dxa"/>
            <w:tcBorders>
              <w:top w:val="nil"/>
              <w:left w:val="nil"/>
              <w:bottom w:val="single" w:sz="4" w:space="0" w:color="auto"/>
              <w:right w:val="nil"/>
            </w:tcBorders>
            <w:shd w:val="clear" w:color="auto" w:fill="auto"/>
            <w:vAlign w:val="center"/>
            <w:hideMark/>
          </w:tcPr>
          <w:p w14:paraId="5416AA6D"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22%</w:t>
            </w:r>
          </w:p>
        </w:tc>
        <w:tc>
          <w:tcPr>
            <w:tcW w:w="1057" w:type="dxa"/>
            <w:tcBorders>
              <w:top w:val="nil"/>
              <w:left w:val="nil"/>
              <w:bottom w:val="single" w:sz="4" w:space="0" w:color="auto"/>
              <w:right w:val="nil"/>
            </w:tcBorders>
            <w:shd w:val="clear" w:color="auto" w:fill="auto"/>
            <w:vAlign w:val="center"/>
            <w:hideMark/>
          </w:tcPr>
          <w:p w14:paraId="04950BF7"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18%</w:t>
            </w:r>
          </w:p>
        </w:tc>
        <w:tc>
          <w:tcPr>
            <w:tcW w:w="1058" w:type="dxa"/>
            <w:tcBorders>
              <w:top w:val="nil"/>
              <w:left w:val="nil"/>
              <w:bottom w:val="single" w:sz="4" w:space="0" w:color="auto"/>
              <w:right w:val="nil"/>
            </w:tcBorders>
            <w:shd w:val="clear" w:color="auto" w:fill="auto"/>
            <w:vAlign w:val="center"/>
            <w:hideMark/>
          </w:tcPr>
          <w:p w14:paraId="64F8B993"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14%</w:t>
            </w:r>
          </w:p>
        </w:tc>
        <w:tc>
          <w:tcPr>
            <w:tcW w:w="1056" w:type="dxa"/>
            <w:tcBorders>
              <w:top w:val="nil"/>
              <w:left w:val="nil"/>
              <w:bottom w:val="single" w:sz="4" w:space="0" w:color="auto"/>
              <w:right w:val="nil"/>
            </w:tcBorders>
            <w:shd w:val="clear" w:color="auto" w:fill="auto"/>
            <w:vAlign w:val="center"/>
            <w:hideMark/>
          </w:tcPr>
          <w:p w14:paraId="34F43B1B"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16%</w:t>
            </w:r>
          </w:p>
        </w:tc>
        <w:tc>
          <w:tcPr>
            <w:tcW w:w="1055" w:type="dxa"/>
            <w:tcBorders>
              <w:top w:val="nil"/>
              <w:left w:val="nil"/>
              <w:bottom w:val="single" w:sz="4" w:space="0" w:color="auto"/>
              <w:right w:val="nil"/>
            </w:tcBorders>
            <w:shd w:val="clear" w:color="auto" w:fill="auto"/>
            <w:vAlign w:val="center"/>
            <w:hideMark/>
          </w:tcPr>
          <w:p w14:paraId="188C5A92"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17%</w:t>
            </w:r>
          </w:p>
        </w:tc>
        <w:tc>
          <w:tcPr>
            <w:tcW w:w="1300" w:type="dxa"/>
            <w:tcBorders>
              <w:top w:val="nil"/>
              <w:left w:val="nil"/>
              <w:bottom w:val="single" w:sz="4" w:space="0" w:color="auto"/>
              <w:right w:val="single" w:sz="4" w:space="0" w:color="auto"/>
            </w:tcBorders>
            <w:shd w:val="clear" w:color="auto" w:fill="auto"/>
            <w:noWrap/>
            <w:vAlign w:val="center"/>
            <w:hideMark/>
          </w:tcPr>
          <w:p w14:paraId="5B7B4BC2" w14:textId="77777777" w:rsidR="00C0369A" w:rsidRPr="00C0369A" w:rsidRDefault="00C0369A" w:rsidP="00C0369A">
            <w:pPr>
              <w:jc w:val="center"/>
              <w:rPr>
                <w:rFonts w:ascii="Times Roman" w:hAnsi="Times Roman" w:cs="Calibri"/>
                <w:color w:val="000000"/>
                <w:sz w:val="15"/>
                <w:szCs w:val="15"/>
              </w:rPr>
            </w:pPr>
            <w:r w:rsidRPr="00C0369A">
              <w:rPr>
                <w:rFonts w:ascii="Times Roman" w:hAnsi="Times Roman" w:cs="Calibri"/>
                <w:color w:val="000000"/>
                <w:sz w:val="15"/>
                <w:szCs w:val="15"/>
              </w:rPr>
              <w:t>&lt;0.05</w:t>
            </w:r>
          </w:p>
        </w:tc>
        <w:tc>
          <w:tcPr>
            <w:tcW w:w="36" w:type="dxa"/>
            <w:vAlign w:val="center"/>
            <w:hideMark/>
          </w:tcPr>
          <w:p w14:paraId="24163E93" w14:textId="77777777" w:rsidR="00C0369A" w:rsidRPr="00C0369A" w:rsidRDefault="00C0369A" w:rsidP="00C0369A">
            <w:pPr>
              <w:rPr>
                <w:sz w:val="20"/>
                <w:szCs w:val="20"/>
              </w:rPr>
            </w:pPr>
          </w:p>
        </w:tc>
      </w:tr>
      <w:tr w:rsidR="00C0369A" w:rsidRPr="00C0369A" w14:paraId="002E5068" w14:textId="77777777" w:rsidTr="00C0369A">
        <w:trPr>
          <w:trHeight w:val="560"/>
        </w:trPr>
        <w:tc>
          <w:tcPr>
            <w:tcW w:w="1494" w:type="dxa"/>
            <w:tcBorders>
              <w:top w:val="nil"/>
              <w:left w:val="single" w:sz="4" w:space="0" w:color="auto"/>
              <w:bottom w:val="single" w:sz="4" w:space="0" w:color="auto"/>
              <w:right w:val="nil"/>
            </w:tcBorders>
            <w:shd w:val="clear" w:color="auto" w:fill="auto"/>
            <w:vAlign w:val="center"/>
            <w:hideMark/>
          </w:tcPr>
          <w:p w14:paraId="2456AA60" w14:textId="77777777" w:rsidR="00C0369A" w:rsidRPr="00C0369A" w:rsidRDefault="00C0369A" w:rsidP="00C0369A">
            <w:pPr>
              <w:rPr>
                <w:rFonts w:ascii="Times" w:hAnsi="Times" w:cs="Calibri"/>
                <w:i/>
                <w:iCs/>
                <w:color w:val="000000"/>
                <w:sz w:val="15"/>
                <w:szCs w:val="15"/>
              </w:rPr>
            </w:pPr>
            <w:r w:rsidRPr="00C0369A">
              <w:rPr>
                <w:rFonts w:ascii="Times" w:hAnsi="Times" w:cs="Calibri"/>
                <w:i/>
                <w:iCs/>
                <w:color w:val="000000"/>
                <w:sz w:val="15"/>
                <w:szCs w:val="15"/>
              </w:rPr>
              <w:t>Private Health Insurance</w:t>
            </w:r>
          </w:p>
        </w:tc>
        <w:tc>
          <w:tcPr>
            <w:tcW w:w="1055" w:type="dxa"/>
            <w:tcBorders>
              <w:top w:val="nil"/>
              <w:left w:val="nil"/>
              <w:bottom w:val="single" w:sz="4" w:space="0" w:color="auto"/>
              <w:right w:val="nil"/>
            </w:tcBorders>
            <w:shd w:val="clear" w:color="auto" w:fill="auto"/>
            <w:vAlign w:val="center"/>
            <w:hideMark/>
          </w:tcPr>
          <w:p w14:paraId="2BD2E04B"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69%</w:t>
            </w:r>
          </w:p>
        </w:tc>
        <w:tc>
          <w:tcPr>
            <w:tcW w:w="1055" w:type="dxa"/>
            <w:tcBorders>
              <w:top w:val="nil"/>
              <w:left w:val="nil"/>
              <w:bottom w:val="single" w:sz="4" w:space="0" w:color="auto"/>
              <w:right w:val="nil"/>
            </w:tcBorders>
            <w:shd w:val="clear" w:color="auto" w:fill="auto"/>
            <w:vAlign w:val="center"/>
            <w:hideMark/>
          </w:tcPr>
          <w:p w14:paraId="53F378A8"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84%</w:t>
            </w:r>
          </w:p>
        </w:tc>
        <w:tc>
          <w:tcPr>
            <w:tcW w:w="1057" w:type="dxa"/>
            <w:tcBorders>
              <w:top w:val="nil"/>
              <w:left w:val="nil"/>
              <w:bottom w:val="single" w:sz="4" w:space="0" w:color="auto"/>
              <w:right w:val="nil"/>
            </w:tcBorders>
            <w:shd w:val="clear" w:color="auto" w:fill="auto"/>
            <w:vAlign w:val="center"/>
            <w:hideMark/>
          </w:tcPr>
          <w:p w14:paraId="3E68B5F3"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33%</w:t>
            </w:r>
          </w:p>
        </w:tc>
        <w:tc>
          <w:tcPr>
            <w:tcW w:w="1057" w:type="dxa"/>
            <w:tcBorders>
              <w:top w:val="nil"/>
              <w:left w:val="nil"/>
              <w:bottom w:val="single" w:sz="4" w:space="0" w:color="auto"/>
              <w:right w:val="nil"/>
            </w:tcBorders>
            <w:shd w:val="clear" w:color="auto" w:fill="auto"/>
            <w:vAlign w:val="center"/>
            <w:hideMark/>
          </w:tcPr>
          <w:p w14:paraId="5218FADA"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39%</w:t>
            </w:r>
          </w:p>
        </w:tc>
        <w:tc>
          <w:tcPr>
            <w:tcW w:w="1057" w:type="dxa"/>
            <w:tcBorders>
              <w:top w:val="nil"/>
              <w:left w:val="nil"/>
              <w:bottom w:val="single" w:sz="4" w:space="0" w:color="auto"/>
              <w:right w:val="nil"/>
            </w:tcBorders>
            <w:shd w:val="clear" w:color="auto" w:fill="auto"/>
            <w:vAlign w:val="center"/>
            <w:hideMark/>
          </w:tcPr>
          <w:p w14:paraId="235C534A"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26%</w:t>
            </w:r>
          </w:p>
        </w:tc>
        <w:tc>
          <w:tcPr>
            <w:tcW w:w="1058" w:type="dxa"/>
            <w:tcBorders>
              <w:top w:val="nil"/>
              <w:left w:val="nil"/>
              <w:bottom w:val="single" w:sz="4" w:space="0" w:color="auto"/>
              <w:right w:val="nil"/>
            </w:tcBorders>
            <w:shd w:val="clear" w:color="auto" w:fill="auto"/>
            <w:vAlign w:val="center"/>
            <w:hideMark/>
          </w:tcPr>
          <w:p w14:paraId="27F40C69"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29%</w:t>
            </w:r>
          </w:p>
        </w:tc>
        <w:tc>
          <w:tcPr>
            <w:tcW w:w="1056" w:type="dxa"/>
            <w:tcBorders>
              <w:top w:val="nil"/>
              <w:left w:val="nil"/>
              <w:bottom w:val="single" w:sz="4" w:space="0" w:color="auto"/>
              <w:right w:val="nil"/>
            </w:tcBorders>
            <w:shd w:val="clear" w:color="auto" w:fill="auto"/>
            <w:vAlign w:val="center"/>
            <w:hideMark/>
          </w:tcPr>
          <w:p w14:paraId="588CD968"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52%</w:t>
            </w:r>
          </w:p>
        </w:tc>
        <w:tc>
          <w:tcPr>
            <w:tcW w:w="1055" w:type="dxa"/>
            <w:tcBorders>
              <w:top w:val="nil"/>
              <w:left w:val="nil"/>
              <w:bottom w:val="single" w:sz="4" w:space="0" w:color="auto"/>
              <w:right w:val="nil"/>
            </w:tcBorders>
            <w:shd w:val="clear" w:color="auto" w:fill="auto"/>
            <w:vAlign w:val="center"/>
            <w:hideMark/>
          </w:tcPr>
          <w:p w14:paraId="2E7D4CA4" w14:textId="77777777" w:rsidR="00C0369A" w:rsidRPr="00C0369A" w:rsidRDefault="00C0369A" w:rsidP="00C0369A">
            <w:pPr>
              <w:jc w:val="center"/>
              <w:rPr>
                <w:rFonts w:ascii="Times" w:hAnsi="Times" w:cs="Calibri"/>
                <w:color w:val="000000"/>
                <w:sz w:val="15"/>
                <w:szCs w:val="15"/>
              </w:rPr>
            </w:pPr>
            <w:r w:rsidRPr="00C0369A">
              <w:rPr>
                <w:rFonts w:ascii="Times" w:hAnsi="Times" w:cs="Calibri"/>
                <w:color w:val="000000"/>
                <w:sz w:val="15"/>
                <w:szCs w:val="15"/>
              </w:rPr>
              <w:t>42%</w:t>
            </w:r>
          </w:p>
        </w:tc>
        <w:tc>
          <w:tcPr>
            <w:tcW w:w="1300" w:type="dxa"/>
            <w:tcBorders>
              <w:top w:val="nil"/>
              <w:left w:val="nil"/>
              <w:bottom w:val="single" w:sz="4" w:space="0" w:color="auto"/>
              <w:right w:val="single" w:sz="4" w:space="0" w:color="auto"/>
            </w:tcBorders>
            <w:shd w:val="clear" w:color="auto" w:fill="auto"/>
            <w:noWrap/>
            <w:vAlign w:val="center"/>
            <w:hideMark/>
          </w:tcPr>
          <w:p w14:paraId="17F1EB99" w14:textId="77777777" w:rsidR="00C0369A" w:rsidRPr="00C0369A" w:rsidRDefault="00C0369A" w:rsidP="00C0369A">
            <w:pPr>
              <w:jc w:val="center"/>
              <w:rPr>
                <w:rFonts w:ascii="Times Roman" w:hAnsi="Times Roman" w:cs="Calibri"/>
                <w:color w:val="000000"/>
                <w:sz w:val="15"/>
                <w:szCs w:val="15"/>
              </w:rPr>
            </w:pPr>
            <w:r w:rsidRPr="00C0369A">
              <w:rPr>
                <w:rFonts w:ascii="Times Roman" w:hAnsi="Times Roman" w:cs="Calibri"/>
                <w:color w:val="000000"/>
                <w:sz w:val="15"/>
                <w:szCs w:val="15"/>
              </w:rPr>
              <w:t>&lt;0.05</w:t>
            </w:r>
          </w:p>
        </w:tc>
        <w:tc>
          <w:tcPr>
            <w:tcW w:w="36" w:type="dxa"/>
            <w:vAlign w:val="center"/>
            <w:hideMark/>
          </w:tcPr>
          <w:p w14:paraId="36E81304" w14:textId="77777777" w:rsidR="00C0369A" w:rsidRPr="00C0369A" w:rsidRDefault="00C0369A" w:rsidP="00C0369A">
            <w:pPr>
              <w:rPr>
                <w:sz w:val="20"/>
                <w:szCs w:val="20"/>
              </w:rPr>
            </w:pPr>
          </w:p>
        </w:tc>
      </w:tr>
    </w:tbl>
    <w:p w14:paraId="2D21B946" w14:textId="2B928E98" w:rsidR="00C0369A" w:rsidRDefault="00C0369A" w:rsidP="005337CB">
      <w:pPr>
        <w:pStyle w:val="NormalWeb"/>
        <w:spacing w:before="0" w:beforeAutospacing="0" w:after="0" w:afterAutospacing="0"/>
        <w:rPr>
          <w:rFonts w:ascii="Times" w:hAnsi="Times" w:cs="Times"/>
          <w:sz w:val="18"/>
          <w:szCs w:val="18"/>
        </w:rPr>
      </w:pPr>
      <w:r>
        <w:rPr>
          <w:rFonts w:ascii="Times" w:hAnsi="Times" w:cs="Times"/>
          <w:sz w:val="18"/>
          <w:szCs w:val="18"/>
        </w:rPr>
        <w:t>NH: Non-Hispanic/Latinx</w:t>
      </w:r>
    </w:p>
    <w:p w14:paraId="5E2CF7D7" w14:textId="307524DA" w:rsidR="005337CB" w:rsidRPr="00826043" w:rsidRDefault="005337CB" w:rsidP="005337CB">
      <w:pPr>
        <w:pStyle w:val="NormalWeb"/>
        <w:spacing w:before="0" w:beforeAutospacing="0" w:after="0" w:afterAutospacing="0"/>
        <w:rPr>
          <w:rFonts w:ascii="Times" w:hAnsi="Times" w:cs="Times"/>
          <w:sz w:val="18"/>
          <w:szCs w:val="18"/>
        </w:rPr>
      </w:pPr>
      <w:r w:rsidRPr="00826043">
        <w:rPr>
          <w:rFonts w:ascii="Times" w:hAnsi="Times" w:cs="Times"/>
          <w:sz w:val="18"/>
          <w:szCs w:val="18"/>
        </w:rPr>
        <w:t>*</w:t>
      </w:r>
      <w:r w:rsidR="00C0369A">
        <w:rPr>
          <w:rFonts w:ascii="Times" w:hAnsi="Times" w:cs="Times"/>
          <w:sz w:val="18"/>
          <w:szCs w:val="18"/>
        </w:rPr>
        <w:t xml:space="preserve"> </w:t>
      </w:r>
      <w:r w:rsidRPr="00826043">
        <w:rPr>
          <w:rFonts w:ascii="Times" w:hAnsi="Times" w:cs="Times"/>
          <w:sz w:val="18"/>
          <w:szCs w:val="18"/>
        </w:rPr>
        <w:t>Chi-squared test of significance</w:t>
      </w:r>
    </w:p>
    <w:p w14:paraId="7A98B16A" w14:textId="77777777" w:rsidR="00E26CD2" w:rsidRDefault="005337CB" w:rsidP="00057779">
      <w:pPr>
        <w:pStyle w:val="NormalWeb"/>
        <w:spacing w:before="0" w:beforeAutospacing="0" w:after="0" w:afterAutospacing="0"/>
        <w:rPr>
          <w:rFonts w:ascii="Times" w:hAnsi="Times" w:cs="Times"/>
          <w:sz w:val="18"/>
          <w:szCs w:val="18"/>
        </w:rPr>
      </w:pPr>
      <w:r w:rsidRPr="00826043">
        <w:rPr>
          <w:rFonts w:ascii="Times" w:hAnsi="Times" w:cs="Times"/>
          <w:sz w:val="18"/>
          <w:szCs w:val="18"/>
        </w:rPr>
        <w:sym w:font="Symbol" w:char="F0E0"/>
      </w:r>
      <w:r w:rsidRPr="00826043">
        <w:rPr>
          <w:rFonts w:ascii="Times" w:hAnsi="Times" w:cs="Times"/>
          <w:sz w:val="18"/>
          <w:szCs w:val="18"/>
        </w:rPr>
        <w:t xml:space="preserve"> Hospitals categorized into four levels of </w:t>
      </w:r>
      <w:r w:rsidR="00C76AE8" w:rsidRPr="00826043">
        <w:rPr>
          <w:rFonts w:ascii="Times" w:hAnsi="Times" w:cs="Times"/>
          <w:sz w:val="18"/>
          <w:szCs w:val="18"/>
        </w:rPr>
        <w:t xml:space="preserve">neonatal </w:t>
      </w:r>
      <w:r w:rsidRPr="00826043">
        <w:rPr>
          <w:rFonts w:ascii="Times" w:hAnsi="Times" w:cs="Times"/>
          <w:sz w:val="18"/>
          <w:szCs w:val="18"/>
        </w:rPr>
        <w:t>care specified by the American Academy of Pediatrics, with level I being the most basic level of care</w:t>
      </w:r>
      <w:r w:rsidRPr="00826043">
        <w:rPr>
          <w:rFonts w:ascii="Times" w:hAnsi="Times" w:cs="Times"/>
          <w:sz w:val="18"/>
          <w:szCs w:val="18"/>
        </w:rPr>
        <w:fldChar w:fldCharType="begin" w:fldLock="1"/>
      </w:r>
      <w:r w:rsidR="00DE08B1" w:rsidRPr="00826043">
        <w:rPr>
          <w:rFonts w:ascii="Times" w:hAnsi="Times" w:cs="Times"/>
          <w:sz w:val="18"/>
          <w:szCs w:val="18"/>
        </w:rPr>
        <w:instrText>ADDIN CSL_CITATION {"citationItems":[{"id":"ITEM-1","itemData":{"DOI":"10.1542/peds.2012-1999","ISSN":"00314005","PMID":"22926177","abstract":"Provision of risk-appropriate care for newborn infants and mothers was first proposed in 1976. This updated policy statement provides a review of data supporting evidence for a tiered provision of care and reaffirms the need for uniform, nationally applicable definitions and consistent standards of service for public health to improve neonatal outcomes. Facilities that provide hospital care for newborn infants should be classified on the basis of functional capabilities, and these facilities should be organized within a regionalized system of perinatal care. Copyright © 2012 by the American Academy of Pediatrics.","author":[{"dropping-particle":"","family":"Barfield","given":"Wanda Denise","non-dropping-particle":"","parse-names":false,"suffix":""},{"dropping-particle":"","family":"Papile","given":"Lu Ann","non-dropping-particle":"","parse-names":false,"suffix":""},{"dropping-particle":"","family":"Baley","given":"Jill E.","non-dropping-particle":"","parse-names":false,"suffix":""},{"dropping-particle":"","family":"Benitz","given":"William","non-dropping-particle":"","parse-names":false,"suffix":""},{"dropping-particle":"","family":"Cummings","given":"James","non-dropping-particle":"","parse-names":false,"suffix":""},{"dropping-particle":"","family":"Carlo","given":"Waldemar A.","non-dropping-particle":"","parse-names":false,"suffix":""},{"dropping-particle":"","family":"Kumar","given":"Praveen","non-dropping-particle":"","parse-names":false,"suffix":""},{"dropping-particle":"","family":"Polin","given":"Richard A.","non-dropping-particle":"","parse-names":false,"suffix":""},{"dropping-particle":"","family":"Tan","given":"Rosemarie C.","non-dropping-particle":"","parse-names":false,"suffix":""},{"dropping-particle":"","family":"Watterberg","given":"Kristi L.","non-dropping-particle":"","parse-names":false,"suffix":""},{"dropping-particle":"","family":"Macones","given":"George","non-dropping-particle":"","parse-names":false,"suffix":""},{"dropping-particle":"","family":"Jefferies","given":"Ann L.","non-dropping-particle":"","parse-names":false,"suffix":""},{"dropping-particle":"","family":"Mainous","given":"Rosalie O.","non-dropping-particle":"","parse-names":false,"suffix":""},{"dropping-particle":"","family":"Raju","given":"Tonse N.K.","non-dropping-particle":"","parse-names":false,"suffix":""},{"dropping-particle":"","family":"Wang","given":"Kasper S.","non-dropping-particle":"","parse-names":false,"suffix":""},{"dropping-particle":"","family":"Couto","given":"Jim","non-dropping-particle":"","parse-names":false,"suffix":""}],"container-title":"Pediatrics","id":"ITEM-1","issue":"3","issued":{"date-parts":[["2012","9","1"]]},"page":"587-597","publisher":"American Academy of Pediatrics","title":"Levels of neonatal care","type":"article","volume":"130"},"uris":["http://www.mendeley.com/documents/?uuid=8272a0ef-fdca-3a41-89ba-f99ce0c84a0d"]}],"mendeley":{"formattedCitation":"&lt;sup&gt;30&lt;/sup&gt;","plainTextFormattedCitation":"30","previouslyFormattedCitation":"&lt;sup&gt;30&lt;/sup&gt;"},"properties":{"noteIndex":0},"schema":"https://github.com/citation-style-language/schema/raw/master/csl-citation.json"}</w:instrText>
      </w:r>
      <w:r w:rsidRPr="00826043">
        <w:rPr>
          <w:rFonts w:ascii="Times" w:hAnsi="Times" w:cs="Times"/>
          <w:sz w:val="18"/>
          <w:szCs w:val="18"/>
        </w:rPr>
        <w:fldChar w:fldCharType="separate"/>
      </w:r>
      <w:r w:rsidR="00DE08B1" w:rsidRPr="00826043">
        <w:rPr>
          <w:rFonts w:ascii="Times" w:hAnsi="Times" w:cs="Times"/>
          <w:noProof/>
          <w:sz w:val="18"/>
          <w:szCs w:val="18"/>
          <w:vertAlign w:val="superscript"/>
        </w:rPr>
        <w:t>30</w:t>
      </w:r>
      <w:r w:rsidRPr="00826043">
        <w:rPr>
          <w:rFonts w:ascii="Times" w:hAnsi="Times" w:cs="Times"/>
          <w:sz w:val="18"/>
          <w:szCs w:val="18"/>
        </w:rPr>
        <w:fldChar w:fldCharType="end"/>
      </w:r>
    </w:p>
    <w:p w14:paraId="5360B0C5" w14:textId="77777777" w:rsidR="00C0369A" w:rsidRDefault="00C0369A" w:rsidP="00057779">
      <w:pPr>
        <w:pStyle w:val="NormalWeb"/>
        <w:spacing w:before="0" w:beforeAutospacing="0" w:after="0" w:afterAutospacing="0"/>
        <w:rPr>
          <w:rFonts w:ascii="Times" w:hAnsi="Times" w:cs="Times"/>
          <w:sz w:val="18"/>
          <w:szCs w:val="18"/>
        </w:rPr>
      </w:pPr>
    </w:p>
    <w:p w14:paraId="2D5F23A4" w14:textId="40E07D97" w:rsidR="00C0369A" w:rsidRPr="00826043" w:rsidRDefault="00C0369A" w:rsidP="00057779">
      <w:pPr>
        <w:pStyle w:val="NormalWeb"/>
        <w:spacing w:before="0" w:beforeAutospacing="0" w:after="0" w:afterAutospacing="0"/>
        <w:rPr>
          <w:rFonts w:ascii="Times" w:hAnsi="Times" w:cs="Times"/>
          <w:sz w:val="18"/>
          <w:szCs w:val="18"/>
        </w:rPr>
        <w:sectPr w:rsidR="00C0369A" w:rsidRPr="00826043" w:rsidSect="00E26CD2">
          <w:pgSz w:w="15840" w:h="12240" w:orient="landscape"/>
          <w:pgMar w:top="1440" w:right="1440" w:bottom="1440" w:left="1440" w:header="576" w:footer="720" w:gutter="0"/>
          <w:cols w:space="720"/>
          <w:docGrid w:linePitch="360"/>
        </w:sectPr>
      </w:pPr>
    </w:p>
    <w:p w14:paraId="393FF023" w14:textId="6C55A9C7" w:rsidR="00E34BDE" w:rsidRPr="000F4B8D" w:rsidRDefault="00E34BDE" w:rsidP="00057779">
      <w:pPr>
        <w:pStyle w:val="NormalWeb"/>
        <w:spacing w:before="0" w:beforeAutospacing="0" w:after="0" w:afterAutospacing="0"/>
        <w:rPr>
          <w:rFonts w:ascii="Times" w:hAnsi="Times" w:cs="Times"/>
          <w:b/>
          <w:bCs/>
          <w:color w:val="000000" w:themeColor="text1"/>
          <w:sz w:val="22"/>
          <w:szCs w:val="22"/>
        </w:rPr>
      </w:pPr>
      <w:r w:rsidRPr="00FC1537">
        <w:rPr>
          <w:rFonts w:ascii="Times" w:hAnsi="Times" w:cs="Times"/>
          <w:b/>
          <w:bCs/>
          <w:sz w:val="22"/>
          <w:szCs w:val="22"/>
        </w:rPr>
        <w:t xml:space="preserve">Table 2: </w:t>
      </w:r>
      <w:r w:rsidR="0046331E">
        <w:rPr>
          <w:rFonts w:ascii="Times" w:hAnsi="Times" w:cs="Times"/>
          <w:b/>
          <w:bCs/>
          <w:sz w:val="22"/>
          <w:szCs w:val="22"/>
        </w:rPr>
        <w:t xml:space="preserve">Associations of Race/Ethnicity with </w:t>
      </w:r>
      <w:r w:rsidR="00E26CD2">
        <w:rPr>
          <w:rFonts w:ascii="Times" w:hAnsi="Times" w:cs="Times"/>
          <w:b/>
          <w:bCs/>
          <w:sz w:val="22"/>
          <w:szCs w:val="22"/>
        </w:rPr>
        <w:t xml:space="preserve">Obstetric </w:t>
      </w:r>
      <w:r w:rsidRPr="00FC1537">
        <w:rPr>
          <w:rFonts w:ascii="Times" w:hAnsi="Times" w:cs="Times"/>
          <w:b/>
          <w:bCs/>
          <w:sz w:val="22"/>
          <w:szCs w:val="22"/>
        </w:rPr>
        <w:t>Outcome Me</w:t>
      </w:r>
      <w:r w:rsidRPr="000F4B8D">
        <w:rPr>
          <w:rFonts w:ascii="Times" w:hAnsi="Times" w:cs="Times"/>
          <w:b/>
          <w:bCs/>
          <w:color w:val="000000" w:themeColor="text1"/>
          <w:sz w:val="22"/>
          <w:szCs w:val="22"/>
        </w:rPr>
        <w:t>asures</w:t>
      </w:r>
    </w:p>
    <w:tbl>
      <w:tblPr>
        <w:tblStyle w:val="TableGrid"/>
        <w:tblW w:w="9625" w:type="dxa"/>
        <w:tblLook w:val="04A0" w:firstRow="1" w:lastRow="0" w:firstColumn="1" w:lastColumn="0" w:noHBand="0" w:noVBand="1"/>
      </w:tblPr>
      <w:tblGrid>
        <w:gridCol w:w="1506"/>
        <w:gridCol w:w="705"/>
        <w:gridCol w:w="1458"/>
        <w:gridCol w:w="623"/>
        <w:gridCol w:w="1373"/>
        <w:gridCol w:w="764"/>
        <w:gridCol w:w="1290"/>
        <w:gridCol w:w="616"/>
        <w:gridCol w:w="1290"/>
      </w:tblGrid>
      <w:tr w:rsidR="00776682" w:rsidRPr="000F4B8D" w14:paraId="224F3FFF" w14:textId="77777777" w:rsidTr="002A181C">
        <w:tc>
          <w:tcPr>
            <w:tcW w:w="1506" w:type="dxa"/>
            <w:tcBorders>
              <w:bottom w:val="single" w:sz="4" w:space="0" w:color="auto"/>
              <w:right w:val="nil"/>
            </w:tcBorders>
          </w:tcPr>
          <w:p w14:paraId="3B9E7FFE" w14:textId="77777777" w:rsidR="00776682" w:rsidRPr="000F4B8D" w:rsidRDefault="00776682" w:rsidP="002A181C">
            <w:pPr>
              <w:pStyle w:val="NormalWeb"/>
              <w:spacing w:before="0" w:beforeAutospacing="0" w:after="0" w:afterAutospacing="0"/>
              <w:rPr>
                <w:rFonts w:ascii="Times" w:hAnsi="Times" w:cs="Times"/>
                <w:color w:val="000000" w:themeColor="text1"/>
                <w:sz w:val="20"/>
                <w:szCs w:val="20"/>
              </w:rPr>
            </w:pPr>
          </w:p>
        </w:tc>
        <w:tc>
          <w:tcPr>
            <w:tcW w:w="2163" w:type="dxa"/>
            <w:gridSpan w:val="2"/>
            <w:tcBorders>
              <w:left w:val="nil"/>
              <w:bottom w:val="single" w:sz="4" w:space="0" w:color="auto"/>
              <w:right w:val="nil"/>
            </w:tcBorders>
          </w:tcPr>
          <w:p w14:paraId="4AA10CD0" w14:textId="77777777" w:rsidR="00776682" w:rsidRPr="000F4B8D" w:rsidRDefault="00776682" w:rsidP="002A181C">
            <w:pPr>
              <w:pStyle w:val="NormalWeb"/>
              <w:spacing w:before="0" w:beforeAutospacing="0" w:after="0" w:afterAutospacing="0"/>
              <w:jc w:val="center"/>
              <w:rPr>
                <w:rFonts w:ascii="Times" w:hAnsi="Times" w:cs="Times"/>
                <w:color w:val="000000" w:themeColor="text1"/>
                <w:sz w:val="18"/>
                <w:szCs w:val="18"/>
              </w:rPr>
            </w:pPr>
            <w:r w:rsidRPr="000F4B8D">
              <w:rPr>
                <w:rFonts w:ascii="Times" w:hAnsi="Times" w:cs="Times"/>
                <w:color w:val="000000" w:themeColor="text1"/>
                <w:sz w:val="18"/>
                <w:szCs w:val="18"/>
              </w:rPr>
              <w:t xml:space="preserve">NTSV Cesarean </w:t>
            </w:r>
            <w:r>
              <w:rPr>
                <w:rFonts w:ascii="Times" w:hAnsi="Times" w:cs="Times"/>
                <w:color w:val="000000" w:themeColor="text1"/>
                <w:sz w:val="18"/>
                <w:szCs w:val="18"/>
              </w:rPr>
              <w:t>Delivery</w:t>
            </w:r>
            <w:r w:rsidRPr="000F4B8D">
              <w:rPr>
                <w:rFonts w:ascii="Times" w:hAnsi="Times" w:cs="Times"/>
                <w:color w:val="000000" w:themeColor="text1"/>
                <w:sz w:val="18"/>
                <w:szCs w:val="18"/>
              </w:rPr>
              <w:t>*</w:t>
            </w:r>
          </w:p>
        </w:tc>
        <w:tc>
          <w:tcPr>
            <w:tcW w:w="1996" w:type="dxa"/>
            <w:gridSpan w:val="2"/>
            <w:tcBorders>
              <w:left w:val="nil"/>
              <w:bottom w:val="single" w:sz="4" w:space="0" w:color="auto"/>
              <w:right w:val="nil"/>
            </w:tcBorders>
          </w:tcPr>
          <w:p w14:paraId="1F756F31" w14:textId="77777777" w:rsidR="00776682" w:rsidRPr="000F4B8D" w:rsidRDefault="00776682" w:rsidP="002A181C">
            <w:pPr>
              <w:pStyle w:val="NormalWeb"/>
              <w:spacing w:before="0" w:beforeAutospacing="0" w:after="0" w:afterAutospacing="0"/>
              <w:jc w:val="center"/>
              <w:rPr>
                <w:rFonts w:ascii="Times" w:hAnsi="Times" w:cs="Times"/>
                <w:color w:val="000000" w:themeColor="text1"/>
                <w:sz w:val="18"/>
                <w:szCs w:val="18"/>
              </w:rPr>
            </w:pPr>
            <w:r w:rsidRPr="000F4B8D">
              <w:rPr>
                <w:rFonts w:ascii="Times" w:hAnsi="Times" w:cs="Times"/>
                <w:color w:val="000000" w:themeColor="text1"/>
                <w:sz w:val="18"/>
                <w:szCs w:val="18"/>
              </w:rPr>
              <w:t>3</w:t>
            </w:r>
            <w:r w:rsidRPr="000F4B8D">
              <w:rPr>
                <w:rFonts w:ascii="Times" w:hAnsi="Times" w:cs="Times"/>
                <w:color w:val="000000" w:themeColor="text1"/>
                <w:sz w:val="18"/>
                <w:szCs w:val="18"/>
                <w:vertAlign w:val="superscript"/>
              </w:rPr>
              <w:t>rd</w:t>
            </w:r>
            <w:r w:rsidRPr="000F4B8D">
              <w:rPr>
                <w:rFonts w:ascii="Times" w:hAnsi="Times" w:cs="Times"/>
                <w:color w:val="000000" w:themeColor="text1"/>
                <w:sz w:val="18"/>
                <w:szCs w:val="18"/>
              </w:rPr>
              <w:t>/4</w:t>
            </w:r>
            <w:r w:rsidRPr="000F4B8D">
              <w:rPr>
                <w:rFonts w:ascii="Times" w:hAnsi="Times" w:cs="Times"/>
                <w:color w:val="000000" w:themeColor="text1"/>
                <w:sz w:val="18"/>
                <w:szCs w:val="18"/>
                <w:vertAlign w:val="superscript"/>
              </w:rPr>
              <w:t>th</w:t>
            </w:r>
            <w:r w:rsidRPr="000F4B8D">
              <w:rPr>
                <w:rFonts w:ascii="Times" w:hAnsi="Times" w:cs="Times"/>
                <w:color w:val="000000" w:themeColor="text1"/>
                <w:sz w:val="18"/>
                <w:szCs w:val="18"/>
              </w:rPr>
              <w:t xml:space="preserve"> Degree Laceration </w:t>
            </w:r>
            <w:r w:rsidRPr="000F4B8D">
              <w:rPr>
                <w:rFonts w:ascii="Times" w:hAnsi="Times" w:cs="Times"/>
                <w:color w:val="000000" w:themeColor="text1"/>
                <w:sz w:val="12"/>
                <w:szCs w:val="12"/>
              </w:rPr>
              <w:sym w:font="Symbol" w:char="F0E0"/>
            </w:r>
          </w:p>
        </w:tc>
        <w:tc>
          <w:tcPr>
            <w:tcW w:w="2054" w:type="dxa"/>
            <w:gridSpan w:val="2"/>
            <w:tcBorders>
              <w:left w:val="nil"/>
              <w:bottom w:val="single" w:sz="4" w:space="0" w:color="auto"/>
              <w:right w:val="nil"/>
            </w:tcBorders>
          </w:tcPr>
          <w:p w14:paraId="7737664A" w14:textId="77777777" w:rsidR="00776682" w:rsidRPr="000F4B8D" w:rsidRDefault="00776682" w:rsidP="002A181C">
            <w:pPr>
              <w:pStyle w:val="NormalWeb"/>
              <w:spacing w:before="0" w:beforeAutospacing="0" w:after="0" w:afterAutospacing="0"/>
              <w:jc w:val="center"/>
              <w:rPr>
                <w:rFonts w:ascii="Times" w:hAnsi="Times" w:cs="Times"/>
                <w:color w:val="000000" w:themeColor="text1"/>
                <w:sz w:val="18"/>
                <w:szCs w:val="18"/>
              </w:rPr>
            </w:pPr>
            <w:r>
              <w:rPr>
                <w:rFonts w:ascii="Times" w:hAnsi="Times" w:cs="Times"/>
                <w:color w:val="000000" w:themeColor="text1"/>
                <w:sz w:val="18"/>
                <w:szCs w:val="18"/>
              </w:rPr>
              <w:t xml:space="preserve">30-Day </w:t>
            </w:r>
            <w:r w:rsidRPr="000F4B8D">
              <w:rPr>
                <w:rFonts w:ascii="Times" w:hAnsi="Times" w:cs="Times"/>
                <w:color w:val="000000" w:themeColor="text1"/>
                <w:sz w:val="18"/>
                <w:szCs w:val="18"/>
              </w:rPr>
              <w:t>Maternal Readmission</w:t>
            </w:r>
            <w:r w:rsidRPr="000F4B8D">
              <w:rPr>
                <w:rFonts w:ascii="Times" w:hAnsi="Times" w:cs="Times"/>
                <w:color w:val="000000" w:themeColor="text1"/>
                <w:sz w:val="18"/>
                <w:szCs w:val="18"/>
              </w:rPr>
              <w:sym w:font="Symbol" w:char="F0B0"/>
            </w:r>
          </w:p>
        </w:tc>
        <w:tc>
          <w:tcPr>
            <w:tcW w:w="1906" w:type="dxa"/>
            <w:gridSpan w:val="2"/>
            <w:tcBorders>
              <w:left w:val="nil"/>
              <w:bottom w:val="single" w:sz="4" w:space="0" w:color="auto"/>
            </w:tcBorders>
          </w:tcPr>
          <w:p w14:paraId="235C2DA1" w14:textId="77777777" w:rsidR="00776682" w:rsidRPr="000F4B8D" w:rsidRDefault="00776682" w:rsidP="002A181C">
            <w:pPr>
              <w:pStyle w:val="NormalWeb"/>
              <w:spacing w:before="0" w:beforeAutospacing="0" w:after="0" w:afterAutospacing="0"/>
              <w:jc w:val="center"/>
              <w:rPr>
                <w:rFonts w:ascii="Times" w:hAnsi="Times" w:cs="Times"/>
                <w:color w:val="000000" w:themeColor="text1"/>
                <w:sz w:val="18"/>
                <w:szCs w:val="18"/>
              </w:rPr>
            </w:pPr>
            <w:r w:rsidRPr="00E26CD2">
              <w:rPr>
                <w:rFonts w:ascii="Times" w:hAnsi="Times" w:cs="Times"/>
                <w:sz w:val="18"/>
                <w:szCs w:val="18"/>
              </w:rPr>
              <w:t>Severe Maternal Morbidity</w:t>
            </w:r>
            <w:r w:rsidRPr="000F4B8D">
              <w:rPr>
                <w:rFonts w:ascii="Times" w:hAnsi="Times" w:cs="Times"/>
                <w:color w:val="000000" w:themeColor="text1"/>
                <w:sz w:val="18"/>
                <w:szCs w:val="18"/>
              </w:rPr>
              <w:t xml:space="preserve"> </w:t>
            </w:r>
            <w:r w:rsidRPr="000F4B8D">
              <w:rPr>
                <w:rFonts w:ascii="Times" w:hAnsi="Times" w:cs="Times"/>
                <w:color w:val="000000" w:themeColor="text1"/>
                <w:sz w:val="18"/>
                <w:szCs w:val="18"/>
              </w:rPr>
              <w:sym w:font="Symbol" w:char="F0B0"/>
            </w:r>
          </w:p>
        </w:tc>
      </w:tr>
      <w:tr w:rsidR="00776682" w:rsidRPr="001F6032" w14:paraId="3F6580B5" w14:textId="77777777" w:rsidTr="002A181C">
        <w:tc>
          <w:tcPr>
            <w:tcW w:w="1506" w:type="dxa"/>
            <w:tcBorders>
              <w:bottom w:val="single" w:sz="4" w:space="0" w:color="auto"/>
              <w:right w:val="nil"/>
            </w:tcBorders>
          </w:tcPr>
          <w:p w14:paraId="5556F08D" w14:textId="77777777" w:rsidR="00776682" w:rsidRPr="000F4B8D" w:rsidRDefault="00776682" w:rsidP="002A181C">
            <w:pPr>
              <w:pStyle w:val="NormalWeb"/>
              <w:spacing w:before="0" w:beforeAutospacing="0" w:after="0" w:afterAutospacing="0"/>
              <w:rPr>
                <w:rFonts w:ascii="Times" w:hAnsi="Times" w:cs="Times"/>
                <w:color w:val="000000" w:themeColor="text1"/>
                <w:sz w:val="20"/>
                <w:szCs w:val="20"/>
              </w:rPr>
            </w:pPr>
          </w:p>
        </w:tc>
        <w:tc>
          <w:tcPr>
            <w:tcW w:w="705" w:type="dxa"/>
            <w:tcBorders>
              <w:left w:val="nil"/>
              <w:bottom w:val="single" w:sz="4" w:space="0" w:color="auto"/>
              <w:right w:val="nil"/>
            </w:tcBorders>
          </w:tcPr>
          <w:p w14:paraId="0357460A" w14:textId="77777777" w:rsidR="00776682" w:rsidRPr="001F6032" w:rsidRDefault="00776682" w:rsidP="002A181C">
            <w:pPr>
              <w:pStyle w:val="NormalWeb"/>
              <w:spacing w:before="0" w:beforeAutospacing="0" w:after="0" w:afterAutospacing="0"/>
              <w:jc w:val="center"/>
              <w:rPr>
                <w:rFonts w:ascii="Times" w:hAnsi="Times" w:cs="Times"/>
                <w:i/>
                <w:iCs/>
                <w:color w:val="000000" w:themeColor="text1"/>
                <w:sz w:val="18"/>
                <w:szCs w:val="18"/>
              </w:rPr>
            </w:pPr>
            <w:r w:rsidRPr="001F6032">
              <w:rPr>
                <w:rFonts w:ascii="Times" w:hAnsi="Times" w:cs="Times"/>
                <w:i/>
                <w:iCs/>
                <w:color w:val="000000" w:themeColor="text1"/>
                <w:sz w:val="18"/>
                <w:szCs w:val="18"/>
              </w:rPr>
              <w:t>N</w:t>
            </w:r>
          </w:p>
        </w:tc>
        <w:tc>
          <w:tcPr>
            <w:tcW w:w="1458" w:type="dxa"/>
            <w:tcBorders>
              <w:left w:val="nil"/>
              <w:bottom w:val="single" w:sz="4" w:space="0" w:color="auto"/>
              <w:right w:val="nil"/>
            </w:tcBorders>
          </w:tcPr>
          <w:p w14:paraId="4626A7ED" w14:textId="77777777" w:rsidR="00776682" w:rsidRPr="001F6032" w:rsidRDefault="00776682" w:rsidP="002A181C">
            <w:pPr>
              <w:pStyle w:val="NormalWeb"/>
              <w:spacing w:before="0" w:beforeAutospacing="0" w:after="0" w:afterAutospacing="0"/>
              <w:jc w:val="center"/>
              <w:rPr>
                <w:rFonts w:ascii="Times" w:hAnsi="Times" w:cs="Times"/>
                <w:i/>
                <w:iCs/>
                <w:color w:val="000000" w:themeColor="text1"/>
                <w:sz w:val="18"/>
                <w:szCs w:val="18"/>
              </w:rPr>
            </w:pPr>
            <w:r w:rsidRPr="001F6032">
              <w:rPr>
                <w:rFonts w:ascii="Times" w:hAnsi="Times" w:cs="Times"/>
                <w:i/>
                <w:iCs/>
                <w:color w:val="000000" w:themeColor="text1"/>
                <w:sz w:val="18"/>
                <w:szCs w:val="18"/>
              </w:rPr>
              <w:t>aRR (95% CI)</w:t>
            </w:r>
          </w:p>
        </w:tc>
        <w:tc>
          <w:tcPr>
            <w:tcW w:w="623" w:type="dxa"/>
            <w:tcBorders>
              <w:left w:val="nil"/>
              <w:bottom w:val="single" w:sz="4" w:space="0" w:color="auto"/>
              <w:right w:val="nil"/>
            </w:tcBorders>
          </w:tcPr>
          <w:p w14:paraId="54051513" w14:textId="77777777" w:rsidR="00776682" w:rsidRPr="001F6032" w:rsidRDefault="00776682" w:rsidP="002A181C">
            <w:pPr>
              <w:pStyle w:val="NormalWeb"/>
              <w:spacing w:before="0" w:beforeAutospacing="0" w:after="0" w:afterAutospacing="0"/>
              <w:jc w:val="center"/>
              <w:rPr>
                <w:rFonts w:ascii="Times" w:hAnsi="Times" w:cs="Times"/>
                <w:i/>
                <w:iCs/>
                <w:color w:val="000000" w:themeColor="text1"/>
                <w:sz w:val="18"/>
                <w:szCs w:val="18"/>
              </w:rPr>
            </w:pPr>
            <w:r w:rsidRPr="001F6032">
              <w:rPr>
                <w:rFonts w:ascii="Times" w:hAnsi="Times" w:cs="Times"/>
                <w:i/>
                <w:iCs/>
                <w:color w:val="000000" w:themeColor="text1"/>
                <w:sz w:val="18"/>
                <w:szCs w:val="18"/>
              </w:rPr>
              <w:t>N</w:t>
            </w:r>
          </w:p>
        </w:tc>
        <w:tc>
          <w:tcPr>
            <w:tcW w:w="1373" w:type="dxa"/>
            <w:tcBorders>
              <w:left w:val="nil"/>
              <w:bottom w:val="single" w:sz="4" w:space="0" w:color="auto"/>
              <w:right w:val="nil"/>
            </w:tcBorders>
          </w:tcPr>
          <w:p w14:paraId="62065BE8" w14:textId="77777777" w:rsidR="00776682" w:rsidRPr="001F6032" w:rsidRDefault="00776682" w:rsidP="002A181C">
            <w:pPr>
              <w:pStyle w:val="NormalWeb"/>
              <w:spacing w:before="0" w:beforeAutospacing="0" w:after="0" w:afterAutospacing="0"/>
              <w:jc w:val="center"/>
              <w:rPr>
                <w:rFonts w:ascii="Times" w:hAnsi="Times" w:cs="Times"/>
                <w:i/>
                <w:iCs/>
                <w:color w:val="000000" w:themeColor="text1"/>
                <w:sz w:val="18"/>
                <w:szCs w:val="18"/>
              </w:rPr>
            </w:pPr>
            <w:r w:rsidRPr="001F6032">
              <w:rPr>
                <w:rFonts w:ascii="Times" w:hAnsi="Times" w:cs="Times"/>
                <w:i/>
                <w:iCs/>
                <w:color w:val="000000" w:themeColor="text1"/>
                <w:sz w:val="18"/>
                <w:szCs w:val="18"/>
              </w:rPr>
              <w:t>aRR (95% CI)</w:t>
            </w:r>
          </w:p>
        </w:tc>
        <w:tc>
          <w:tcPr>
            <w:tcW w:w="764" w:type="dxa"/>
            <w:tcBorders>
              <w:left w:val="nil"/>
              <w:bottom w:val="single" w:sz="4" w:space="0" w:color="auto"/>
              <w:right w:val="nil"/>
            </w:tcBorders>
          </w:tcPr>
          <w:p w14:paraId="2900C39A" w14:textId="77777777" w:rsidR="00776682" w:rsidRPr="001F6032" w:rsidRDefault="00776682" w:rsidP="002A181C">
            <w:pPr>
              <w:pStyle w:val="NormalWeb"/>
              <w:spacing w:before="0" w:beforeAutospacing="0" w:after="0" w:afterAutospacing="0"/>
              <w:jc w:val="center"/>
              <w:rPr>
                <w:rFonts w:ascii="Times" w:hAnsi="Times" w:cs="Times"/>
                <w:i/>
                <w:iCs/>
                <w:color w:val="000000" w:themeColor="text1"/>
                <w:sz w:val="18"/>
                <w:szCs w:val="18"/>
              </w:rPr>
            </w:pPr>
            <w:r w:rsidRPr="001F6032">
              <w:rPr>
                <w:rFonts w:ascii="Times" w:hAnsi="Times" w:cs="Times"/>
                <w:i/>
                <w:iCs/>
                <w:color w:val="000000" w:themeColor="text1"/>
                <w:sz w:val="18"/>
                <w:szCs w:val="18"/>
              </w:rPr>
              <w:t>N</w:t>
            </w:r>
          </w:p>
        </w:tc>
        <w:tc>
          <w:tcPr>
            <w:tcW w:w="1290" w:type="dxa"/>
            <w:tcBorders>
              <w:left w:val="nil"/>
              <w:bottom w:val="single" w:sz="4" w:space="0" w:color="auto"/>
              <w:right w:val="nil"/>
            </w:tcBorders>
          </w:tcPr>
          <w:p w14:paraId="1D5CA923" w14:textId="77777777" w:rsidR="00776682" w:rsidRPr="001F6032" w:rsidRDefault="00776682" w:rsidP="002A181C">
            <w:pPr>
              <w:pStyle w:val="NormalWeb"/>
              <w:spacing w:before="0" w:beforeAutospacing="0" w:after="0" w:afterAutospacing="0"/>
              <w:jc w:val="center"/>
              <w:rPr>
                <w:rFonts w:ascii="Times" w:hAnsi="Times" w:cs="Times"/>
                <w:i/>
                <w:iCs/>
                <w:color w:val="000000" w:themeColor="text1"/>
                <w:sz w:val="18"/>
                <w:szCs w:val="18"/>
              </w:rPr>
            </w:pPr>
            <w:r w:rsidRPr="001F6032">
              <w:rPr>
                <w:rFonts w:ascii="Times" w:hAnsi="Times" w:cs="Times"/>
                <w:i/>
                <w:iCs/>
                <w:color w:val="000000" w:themeColor="text1"/>
                <w:sz w:val="18"/>
                <w:szCs w:val="18"/>
              </w:rPr>
              <w:t>aRR (95% CI)</w:t>
            </w:r>
          </w:p>
        </w:tc>
        <w:tc>
          <w:tcPr>
            <w:tcW w:w="616" w:type="dxa"/>
            <w:tcBorders>
              <w:left w:val="nil"/>
              <w:bottom w:val="single" w:sz="4" w:space="0" w:color="auto"/>
              <w:right w:val="nil"/>
            </w:tcBorders>
          </w:tcPr>
          <w:p w14:paraId="06D1746B" w14:textId="77777777" w:rsidR="00776682" w:rsidRPr="001F6032" w:rsidRDefault="00776682" w:rsidP="002A181C">
            <w:pPr>
              <w:pStyle w:val="NormalWeb"/>
              <w:spacing w:before="0" w:beforeAutospacing="0" w:after="0" w:afterAutospacing="0"/>
              <w:jc w:val="center"/>
              <w:rPr>
                <w:rFonts w:ascii="Times" w:hAnsi="Times" w:cs="Times"/>
                <w:i/>
                <w:iCs/>
                <w:color w:val="000000" w:themeColor="text1"/>
                <w:sz w:val="18"/>
                <w:szCs w:val="18"/>
              </w:rPr>
            </w:pPr>
            <w:r w:rsidRPr="001F6032">
              <w:rPr>
                <w:rFonts w:ascii="Times" w:hAnsi="Times" w:cs="Times"/>
                <w:i/>
                <w:iCs/>
                <w:color w:val="000000" w:themeColor="text1"/>
                <w:sz w:val="18"/>
                <w:szCs w:val="18"/>
              </w:rPr>
              <w:t>N</w:t>
            </w:r>
          </w:p>
        </w:tc>
        <w:tc>
          <w:tcPr>
            <w:tcW w:w="1290" w:type="dxa"/>
            <w:tcBorders>
              <w:left w:val="nil"/>
              <w:bottom w:val="single" w:sz="4" w:space="0" w:color="auto"/>
            </w:tcBorders>
          </w:tcPr>
          <w:p w14:paraId="2C6BD209" w14:textId="77777777" w:rsidR="00776682" w:rsidRPr="001F6032" w:rsidRDefault="00776682" w:rsidP="002A181C">
            <w:pPr>
              <w:pStyle w:val="NormalWeb"/>
              <w:spacing w:before="0" w:beforeAutospacing="0" w:after="0" w:afterAutospacing="0"/>
              <w:jc w:val="center"/>
              <w:rPr>
                <w:rFonts w:ascii="Times" w:hAnsi="Times" w:cs="Times"/>
                <w:i/>
                <w:iCs/>
                <w:color w:val="000000" w:themeColor="text1"/>
                <w:sz w:val="18"/>
                <w:szCs w:val="18"/>
              </w:rPr>
            </w:pPr>
            <w:r w:rsidRPr="001F6032">
              <w:rPr>
                <w:rFonts w:ascii="Times" w:hAnsi="Times" w:cs="Times"/>
                <w:i/>
                <w:iCs/>
                <w:color w:val="000000" w:themeColor="text1"/>
                <w:sz w:val="18"/>
                <w:szCs w:val="18"/>
              </w:rPr>
              <w:t>aRR (95% CI)</w:t>
            </w:r>
          </w:p>
        </w:tc>
      </w:tr>
      <w:tr w:rsidR="00400E01" w:rsidRPr="00993C06" w14:paraId="5948BF7C" w14:textId="77777777" w:rsidTr="002A181C">
        <w:trPr>
          <w:trHeight w:val="432"/>
        </w:trPr>
        <w:tc>
          <w:tcPr>
            <w:tcW w:w="1506" w:type="dxa"/>
            <w:tcBorders>
              <w:bottom w:val="single" w:sz="4" w:space="0" w:color="000000" w:themeColor="text1"/>
              <w:right w:val="nil"/>
            </w:tcBorders>
            <w:vAlign w:val="center"/>
          </w:tcPr>
          <w:p w14:paraId="340766A3" w14:textId="77777777" w:rsidR="00400E01" w:rsidRPr="000F4B8D" w:rsidRDefault="00400E01" w:rsidP="00400E01">
            <w:pPr>
              <w:pStyle w:val="NormalWeb"/>
              <w:spacing w:before="0" w:beforeAutospacing="0" w:after="0" w:afterAutospacing="0"/>
              <w:rPr>
                <w:rFonts w:ascii="Times" w:hAnsi="Times" w:cs="Times"/>
                <w:color w:val="000000" w:themeColor="text1"/>
                <w:sz w:val="20"/>
                <w:szCs w:val="20"/>
              </w:rPr>
            </w:pPr>
            <w:r>
              <w:rPr>
                <w:rFonts w:ascii="Times" w:hAnsi="Times" w:cs="Times"/>
                <w:color w:val="000000" w:themeColor="text1"/>
                <w:sz w:val="20"/>
                <w:szCs w:val="20"/>
              </w:rPr>
              <w:t>NH White</w:t>
            </w:r>
          </w:p>
        </w:tc>
        <w:tc>
          <w:tcPr>
            <w:tcW w:w="705" w:type="dxa"/>
            <w:tcBorders>
              <w:left w:val="nil"/>
              <w:bottom w:val="single" w:sz="4" w:space="0" w:color="000000" w:themeColor="text1"/>
              <w:right w:val="nil"/>
            </w:tcBorders>
            <w:vAlign w:val="center"/>
          </w:tcPr>
          <w:p w14:paraId="1AF94E9D" w14:textId="223551EC" w:rsidR="00400E01" w:rsidRPr="00993C06" w:rsidRDefault="00400E01" w:rsidP="00400E01">
            <w:pPr>
              <w:pStyle w:val="NormalWeb"/>
              <w:spacing w:before="0" w:beforeAutospacing="0" w:after="0" w:afterAutospacing="0"/>
              <w:jc w:val="center"/>
              <w:rPr>
                <w:rFonts w:ascii="Times" w:hAnsi="Times" w:cs="Times"/>
                <w:bCs/>
                <w:color w:val="000000" w:themeColor="text1"/>
                <w:sz w:val="16"/>
                <w:szCs w:val="16"/>
              </w:rPr>
            </w:pPr>
            <w:r>
              <w:rPr>
                <w:rFonts w:ascii="Times" w:hAnsi="Times" w:cs="Times"/>
                <w:bCs/>
                <w:color w:val="000000" w:themeColor="text1"/>
                <w:sz w:val="16"/>
                <w:szCs w:val="16"/>
              </w:rPr>
              <w:t>11102</w:t>
            </w:r>
          </w:p>
        </w:tc>
        <w:tc>
          <w:tcPr>
            <w:tcW w:w="1458" w:type="dxa"/>
            <w:tcBorders>
              <w:left w:val="nil"/>
              <w:bottom w:val="single" w:sz="4" w:space="0" w:color="000000" w:themeColor="text1"/>
              <w:right w:val="nil"/>
            </w:tcBorders>
            <w:vAlign w:val="center"/>
          </w:tcPr>
          <w:p w14:paraId="694996E1" w14:textId="77777777" w:rsidR="00400E01" w:rsidRPr="00993C06" w:rsidRDefault="00400E01" w:rsidP="00400E01">
            <w:pPr>
              <w:pStyle w:val="NormalWeb"/>
              <w:spacing w:before="0" w:beforeAutospacing="0" w:after="0" w:afterAutospacing="0"/>
              <w:jc w:val="center"/>
              <w:rPr>
                <w:rFonts w:ascii="Times" w:hAnsi="Times" w:cs="Times"/>
                <w:bCs/>
                <w:color w:val="000000" w:themeColor="text1"/>
                <w:sz w:val="16"/>
                <w:szCs w:val="16"/>
              </w:rPr>
            </w:pPr>
            <w:r w:rsidRPr="00993C06">
              <w:rPr>
                <w:rFonts w:ascii="Times" w:hAnsi="Times" w:cs="Times"/>
                <w:bCs/>
                <w:color w:val="000000" w:themeColor="text1"/>
                <w:sz w:val="16"/>
                <w:szCs w:val="16"/>
              </w:rPr>
              <w:t>1.0 (ref)</w:t>
            </w:r>
          </w:p>
        </w:tc>
        <w:tc>
          <w:tcPr>
            <w:tcW w:w="623" w:type="dxa"/>
            <w:tcBorders>
              <w:left w:val="nil"/>
              <w:bottom w:val="single" w:sz="4" w:space="0" w:color="000000" w:themeColor="text1"/>
              <w:right w:val="nil"/>
            </w:tcBorders>
            <w:vAlign w:val="center"/>
          </w:tcPr>
          <w:p w14:paraId="472E1845" w14:textId="7F372B7C" w:rsidR="00400E01" w:rsidRPr="00993C06" w:rsidRDefault="00400E01" w:rsidP="00400E01">
            <w:pPr>
              <w:pStyle w:val="NormalWeb"/>
              <w:spacing w:before="0" w:beforeAutospacing="0" w:after="0" w:afterAutospacing="0"/>
              <w:jc w:val="center"/>
              <w:rPr>
                <w:rFonts w:ascii="Times" w:hAnsi="Times" w:cs="Times"/>
                <w:bCs/>
                <w:color w:val="000000" w:themeColor="text1"/>
                <w:sz w:val="16"/>
                <w:szCs w:val="16"/>
              </w:rPr>
            </w:pPr>
            <w:r>
              <w:rPr>
                <w:rFonts w:ascii="Times" w:hAnsi="Times" w:cs="Times"/>
                <w:bCs/>
                <w:color w:val="000000" w:themeColor="text1"/>
                <w:sz w:val="16"/>
                <w:szCs w:val="16"/>
              </w:rPr>
              <w:t>20404</w:t>
            </w:r>
          </w:p>
        </w:tc>
        <w:tc>
          <w:tcPr>
            <w:tcW w:w="1373" w:type="dxa"/>
            <w:tcBorders>
              <w:left w:val="nil"/>
              <w:bottom w:val="single" w:sz="4" w:space="0" w:color="000000" w:themeColor="text1"/>
              <w:right w:val="nil"/>
            </w:tcBorders>
            <w:vAlign w:val="center"/>
          </w:tcPr>
          <w:p w14:paraId="4E65E36F" w14:textId="77777777" w:rsidR="00400E01" w:rsidRPr="00993C06" w:rsidRDefault="00400E01" w:rsidP="00400E01">
            <w:pPr>
              <w:pStyle w:val="NormalWeb"/>
              <w:spacing w:before="0" w:beforeAutospacing="0" w:after="0" w:afterAutospacing="0"/>
              <w:jc w:val="center"/>
              <w:rPr>
                <w:rFonts w:ascii="Times" w:hAnsi="Times" w:cs="Times"/>
                <w:bCs/>
                <w:color w:val="000000" w:themeColor="text1"/>
                <w:sz w:val="16"/>
                <w:szCs w:val="16"/>
              </w:rPr>
            </w:pPr>
            <w:r w:rsidRPr="00993C06">
              <w:rPr>
                <w:rFonts w:ascii="Times" w:hAnsi="Times" w:cs="Times"/>
                <w:bCs/>
                <w:color w:val="000000" w:themeColor="text1"/>
                <w:sz w:val="16"/>
                <w:szCs w:val="16"/>
              </w:rPr>
              <w:t>1.0 (ref)</w:t>
            </w:r>
          </w:p>
        </w:tc>
        <w:tc>
          <w:tcPr>
            <w:tcW w:w="764" w:type="dxa"/>
            <w:tcBorders>
              <w:left w:val="nil"/>
              <w:bottom w:val="single" w:sz="4" w:space="0" w:color="000000" w:themeColor="text1"/>
              <w:right w:val="nil"/>
            </w:tcBorders>
            <w:vAlign w:val="center"/>
          </w:tcPr>
          <w:p w14:paraId="35D30765" w14:textId="318F3CF2" w:rsidR="00400E01" w:rsidRPr="00993C06" w:rsidRDefault="00400E01" w:rsidP="00400E01">
            <w:pPr>
              <w:pStyle w:val="NormalWeb"/>
              <w:spacing w:before="0" w:beforeAutospacing="0" w:after="0" w:afterAutospacing="0"/>
              <w:jc w:val="center"/>
              <w:rPr>
                <w:bCs/>
                <w:color w:val="000000" w:themeColor="text1"/>
                <w:sz w:val="16"/>
                <w:szCs w:val="16"/>
              </w:rPr>
            </w:pPr>
            <w:r>
              <w:rPr>
                <w:bCs/>
                <w:color w:val="000000" w:themeColor="text1"/>
                <w:sz w:val="16"/>
                <w:szCs w:val="16"/>
              </w:rPr>
              <w:t>30528</w:t>
            </w:r>
          </w:p>
        </w:tc>
        <w:tc>
          <w:tcPr>
            <w:tcW w:w="1290" w:type="dxa"/>
            <w:tcBorders>
              <w:left w:val="nil"/>
              <w:bottom w:val="single" w:sz="4" w:space="0" w:color="000000" w:themeColor="text1"/>
              <w:right w:val="nil"/>
            </w:tcBorders>
            <w:vAlign w:val="center"/>
          </w:tcPr>
          <w:p w14:paraId="7BCF8102" w14:textId="77777777" w:rsidR="00400E01" w:rsidRPr="00993C06" w:rsidRDefault="00400E01" w:rsidP="00400E01">
            <w:pPr>
              <w:pStyle w:val="NormalWeb"/>
              <w:spacing w:before="0" w:beforeAutospacing="0" w:after="0" w:afterAutospacing="0"/>
              <w:jc w:val="center"/>
              <w:rPr>
                <w:bCs/>
                <w:color w:val="000000" w:themeColor="text1"/>
                <w:sz w:val="16"/>
                <w:szCs w:val="16"/>
              </w:rPr>
            </w:pPr>
            <w:r w:rsidRPr="00993C06">
              <w:rPr>
                <w:rFonts w:ascii="Times" w:hAnsi="Times" w:cs="Times"/>
                <w:bCs/>
                <w:color w:val="000000" w:themeColor="text1"/>
                <w:sz w:val="16"/>
                <w:szCs w:val="16"/>
              </w:rPr>
              <w:t>1.0 (ref)</w:t>
            </w:r>
          </w:p>
        </w:tc>
        <w:tc>
          <w:tcPr>
            <w:tcW w:w="616" w:type="dxa"/>
            <w:tcBorders>
              <w:left w:val="nil"/>
              <w:bottom w:val="single" w:sz="4" w:space="0" w:color="000000" w:themeColor="text1"/>
              <w:right w:val="nil"/>
            </w:tcBorders>
            <w:vAlign w:val="center"/>
          </w:tcPr>
          <w:p w14:paraId="62952954" w14:textId="044E0724" w:rsidR="00400E01" w:rsidRPr="00993C06" w:rsidRDefault="00400E01" w:rsidP="00400E01">
            <w:pPr>
              <w:pStyle w:val="NormalWeb"/>
              <w:spacing w:before="0" w:beforeAutospacing="0" w:after="0" w:afterAutospacing="0"/>
              <w:jc w:val="center"/>
              <w:rPr>
                <w:bCs/>
                <w:color w:val="000000" w:themeColor="text1"/>
                <w:sz w:val="16"/>
                <w:szCs w:val="16"/>
              </w:rPr>
            </w:pPr>
            <w:r>
              <w:rPr>
                <w:bCs/>
                <w:color w:val="000000" w:themeColor="text1"/>
                <w:sz w:val="16"/>
                <w:szCs w:val="16"/>
              </w:rPr>
              <w:t>30528</w:t>
            </w:r>
          </w:p>
        </w:tc>
        <w:tc>
          <w:tcPr>
            <w:tcW w:w="1290" w:type="dxa"/>
            <w:tcBorders>
              <w:left w:val="nil"/>
              <w:bottom w:val="single" w:sz="4" w:space="0" w:color="000000" w:themeColor="text1"/>
            </w:tcBorders>
            <w:vAlign w:val="center"/>
          </w:tcPr>
          <w:p w14:paraId="0F5F623F" w14:textId="77777777" w:rsidR="00400E01" w:rsidRPr="00993C06" w:rsidRDefault="00400E01" w:rsidP="00400E01">
            <w:pPr>
              <w:pStyle w:val="NormalWeb"/>
              <w:spacing w:before="0" w:beforeAutospacing="0" w:after="0" w:afterAutospacing="0"/>
              <w:jc w:val="center"/>
              <w:rPr>
                <w:bCs/>
                <w:color w:val="000000" w:themeColor="text1"/>
                <w:sz w:val="16"/>
                <w:szCs w:val="16"/>
              </w:rPr>
            </w:pPr>
            <w:r w:rsidRPr="00993C06">
              <w:rPr>
                <w:rFonts w:ascii="Times" w:hAnsi="Times" w:cs="Times"/>
                <w:bCs/>
                <w:color w:val="000000" w:themeColor="text1"/>
                <w:sz w:val="16"/>
                <w:szCs w:val="16"/>
              </w:rPr>
              <w:t>1.0 (ref)</w:t>
            </w:r>
          </w:p>
        </w:tc>
      </w:tr>
      <w:tr w:rsidR="00400E01" w:rsidRPr="000F4B8D" w14:paraId="517A9D3A" w14:textId="77777777" w:rsidTr="002A181C">
        <w:trPr>
          <w:trHeight w:val="432"/>
        </w:trPr>
        <w:tc>
          <w:tcPr>
            <w:tcW w:w="1506" w:type="dxa"/>
            <w:tcBorders>
              <w:top w:val="single" w:sz="4" w:space="0" w:color="000000" w:themeColor="text1"/>
              <w:bottom w:val="single" w:sz="4" w:space="0" w:color="000000" w:themeColor="text1"/>
              <w:right w:val="nil"/>
            </w:tcBorders>
            <w:vAlign w:val="center"/>
          </w:tcPr>
          <w:p w14:paraId="56E6E584" w14:textId="77777777" w:rsidR="00400E01" w:rsidRPr="000F4B8D" w:rsidRDefault="00400E01" w:rsidP="00400E01">
            <w:pPr>
              <w:pStyle w:val="NormalWeb"/>
              <w:spacing w:before="0" w:beforeAutospacing="0" w:after="0" w:afterAutospacing="0"/>
              <w:rPr>
                <w:rFonts w:ascii="Times" w:hAnsi="Times" w:cs="Times"/>
                <w:color w:val="000000" w:themeColor="text1"/>
                <w:sz w:val="20"/>
                <w:szCs w:val="20"/>
              </w:rPr>
            </w:pPr>
            <w:r>
              <w:rPr>
                <w:rFonts w:ascii="Times" w:hAnsi="Times" w:cs="Times"/>
                <w:color w:val="000000" w:themeColor="text1"/>
                <w:sz w:val="20"/>
                <w:szCs w:val="20"/>
              </w:rPr>
              <w:t xml:space="preserve">NH </w:t>
            </w:r>
            <w:r w:rsidRPr="000F4B8D">
              <w:rPr>
                <w:rFonts w:ascii="Times" w:hAnsi="Times" w:cs="Times"/>
                <w:color w:val="000000" w:themeColor="text1"/>
                <w:sz w:val="20"/>
                <w:szCs w:val="20"/>
              </w:rPr>
              <w:t>Asian</w:t>
            </w:r>
          </w:p>
        </w:tc>
        <w:tc>
          <w:tcPr>
            <w:tcW w:w="705" w:type="dxa"/>
            <w:tcBorders>
              <w:top w:val="single" w:sz="4" w:space="0" w:color="000000" w:themeColor="text1"/>
              <w:left w:val="nil"/>
              <w:bottom w:val="single" w:sz="4" w:space="0" w:color="000000" w:themeColor="text1"/>
              <w:right w:val="nil"/>
            </w:tcBorders>
            <w:vAlign w:val="center"/>
          </w:tcPr>
          <w:p w14:paraId="72FFE140" w14:textId="76D75149" w:rsidR="00400E01" w:rsidRPr="000F4B8D" w:rsidRDefault="00400E01" w:rsidP="00400E01">
            <w:pPr>
              <w:pStyle w:val="NormalWeb"/>
              <w:spacing w:before="0" w:beforeAutospacing="0" w:after="0" w:afterAutospacing="0"/>
              <w:jc w:val="center"/>
              <w:rPr>
                <w:rFonts w:ascii="Times" w:hAnsi="Times" w:cs="Times"/>
                <w:color w:val="000000" w:themeColor="text1"/>
                <w:sz w:val="16"/>
                <w:szCs w:val="16"/>
              </w:rPr>
            </w:pPr>
            <w:r>
              <w:rPr>
                <w:rFonts w:ascii="Times" w:hAnsi="Times" w:cs="Times"/>
                <w:color w:val="000000" w:themeColor="text1"/>
                <w:sz w:val="16"/>
                <w:szCs w:val="16"/>
              </w:rPr>
              <w:t>4605</w:t>
            </w:r>
          </w:p>
        </w:tc>
        <w:tc>
          <w:tcPr>
            <w:tcW w:w="1458" w:type="dxa"/>
            <w:tcBorders>
              <w:top w:val="single" w:sz="4" w:space="0" w:color="000000" w:themeColor="text1"/>
              <w:left w:val="nil"/>
              <w:bottom w:val="single" w:sz="4" w:space="0" w:color="000000" w:themeColor="text1"/>
              <w:right w:val="nil"/>
            </w:tcBorders>
            <w:vAlign w:val="center"/>
          </w:tcPr>
          <w:p w14:paraId="5D714E75" w14:textId="77777777" w:rsidR="00400E01" w:rsidRPr="00B159D4" w:rsidRDefault="00400E01" w:rsidP="00400E01">
            <w:pPr>
              <w:pStyle w:val="NormalWeb"/>
              <w:spacing w:before="0" w:beforeAutospacing="0" w:after="0" w:afterAutospacing="0"/>
              <w:jc w:val="center"/>
              <w:rPr>
                <w:rFonts w:ascii="Times" w:hAnsi="Times" w:cs="Times"/>
                <w:b/>
                <w:color w:val="000000" w:themeColor="text1"/>
                <w:sz w:val="16"/>
                <w:szCs w:val="16"/>
              </w:rPr>
            </w:pPr>
            <w:r w:rsidRPr="00B159D4">
              <w:rPr>
                <w:rFonts w:ascii="Times" w:hAnsi="Times" w:cs="Times"/>
                <w:b/>
                <w:color w:val="000000" w:themeColor="text1"/>
                <w:sz w:val="16"/>
                <w:szCs w:val="16"/>
              </w:rPr>
              <w:t>1.25 (1.16, 1.33)</w:t>
            </w:r>
          </w:p>
        </w:tc>
        <w:tc>
          <w:tcPr>
            <w:tcW w:w="623" w:type="dxa"/>
            <w:tcBorders>
              <w:top w:val="single" w:sz="4" w:space="0" w:color="000000" w:themeColor="text1"/>
              <w:left w:val="nil"/>
              <w:bottom w:val="single" w:sz="4" w:space="0" w:color="000000" w:themeColor="text1"/>
              <w:right w:val="nil"/>
            </w:tcBorders>
            <w:vAlign w:val="center"/>
          </w:tcPr>
          <w:p w14:paraId="5EDBC23B" w14:textId="3693B01B" w:rsidR="00400E01" w:rsidRPr="000F4B8D" w:rsidRDefault="00400E01" w:rsidP="00400E01">
            <w:pPr>
              <w:pStyle w:val="NormalWeb"/>
              <w:spacing w:before="0" w:beforeAutospacing="0" w:after="0" w:afterAutospacing="0"/>
              <w:jc w:val="center"/>
              <w:rPr>
                <w:rFonts w:ascii="Times" w:hAnsi="Times" w:cs="Times"/>
                <w:color w:val="000000" w:themeColor="text1"/>
                <w:sz w:val="16"/>
                <w:szCs w:val="16"/>
              </w:rPr>
            </w:pPr>
            <w:r>
              <w:rPr>
                <w:rFonts w:ascii="Times" w:hAnsi="Times" w:cs="Times"/>
                <w:color w:val="000000" w:themeColor="text1"/>
                <w:sz w:val="16"/>
                <w:szCs w:val="16"/>
              </w:rPr>
              <w:t>6650</w:t>
            </w:r>
          </w:p>
        </w:tc>
        <w:tc>
          <w:tcPr>
            <w:tcW w:w="1373" w:type="dxa"/>
            <w:tcBorders>
              <w:top w:val="single" w:sz="4" w:space="0" w:color="000000" w:themeColor="text1"/>
              <w:left w:val="nil"/>
              <w:bottom w:val="single" w:sz="4" w:space="0" w:color="000000" w:themeColor="text1"/>
              <w:right w:val="nil"/>
            </w:tcBorders>
            <w:vAlign w:val="center"/>
          </w:tcPr>
          <w:p w14:paraId="2FB74892" w14:textId="77777777" w:rsidR="00400E01" w:rsidRPr="00B159D4" w:rsidRDefault="00400E01" w:rsidP="00400E01">
            <w:pPr>
              <w:pStyle w:val="NormalWeb"/>
              <w:spacing w:before="0" w:beforeAutospacing="0" w:after="0" w:afterAutospacing="0"/>
              <w:jc w:val="center"/>
              <w:rPr>
                <w:rFonts w:ascii="Times" w:hAnsi="Times" w:cs="Times"/>
                <w:b/>
                <w:color w:val="000000" w:themeColor="text1"/>
                <w:sz w:val="16"/>
                <w:szCs w:val="16"/>
              </w:rPr>
            </w:pPr>
            <w:r w:rsidRPr="00B159D4">
              <w:rPr>
                <w:rFonts w:ascii="Times" w:hAnsi="Times" w:cs="Times"/>
                <w:b/>
                <w:color w:val="000000" w:themeColor="text1"/>
                <w:sz w:val="16"/>
                <w:szCs w:val="16"/>
              </w:rPr>
              <w:t>2.32 (1.95, 2.55)</w:t>
            </w:r>
          </w:p>
        </w:tc>
        <w:tc>
          <w:tcPr>
            <w:tcW w:w="764" w:type="dxa"/>
            <w:tcBorders>
              <w:top w:val="single" w:sz="4" w:space="0" w:color="000000" w:themeColor="text1"/>
              <w:left w:val="nil"/>
              <w:bottom w:val="single" w:sz="4" w:space="0" w:color="000000" w:themeColor="text1"/>
              <w:right w:val="nil"/>
            </w:tcBorders>
            <w:vAlign w:val="center"/>
          </w:tcPr>
          <w:p w14:paraId="2567DB89" w14:textId="352895AB" w:rsidR="00400E01" w:rsidRPr="000F4B8D" w:rsidRDefault="00400E01" w:rsidP="00400E01">
            <w:pPr>
              <w:pStyle w:val="NormalWeb"/>
              <w:spacing w:before="0" w:beforeAutospacing="0" w:after="0" w:afterAutospacing="0"/>
              <w:jc w:val="center"/>
              <w:rPr>
                <w:color w:val="000000" w:themeColor="text1"/>
                <w:sz w:val="16"/>
                <w:szCs w:val="16"/>
              </w:rPr>
            </w:pPr>
            <w:r>
              <w:rPr>
                <w:color w:val="000000" w:themeColor="text1"/>
                <w:sz w:val="16"/>
                <w:szCs w:val="16"/>
              </w:rPr>
              <w:t>10634</w:t>
            </w:r>
          </w:p>
        </w:tc>
        <w:tc>
          <w:tcPr>
            <w:tcW w:w="1290" w:type="dxa"/>
            <w:tcBorders>
              <w:top w:val="single" w:sz="4" w:space="0" w:color="000000" w:themeColor="text1"/>
              <w:left w:val="nil"/>
              <w:bottom w:val="single" w:sz="4" w:space="0" w:color="000000" w:themeColor="text1"/>
              <w:right w:val="nil"/>
            </w:tcBorders>
            <w:vAlign w:val="center"/>
          </w:tcPr>
          <w:p w14:paraId="1C5DF016" w14:textId="77777777" w:rsidR="00400E01" w:rsidRPr="000F4B8D" w:rsidRDefault="00400E01" w:rsidP="00400E01">
            <w:pPr>
              <w:pStyle w:val="NormalWeb"/>
              <w:spacing w:before="0" w:beforeAutospacing="0" w:after="0" w:afterAutospacing="0"/>
              <w:jc w:val="center"/>
              <w:rPr>
                <w:color w:val="000000" w:themeColor="text1"/>
                <w:sz w:val="16"/>
                <w:szCs w:val="16"/>
              </w:rPr>
            </w:pPr>
            <w:r w:rsidRPr="000F4B8D">
              <w:rPr>
                <w:color w:val="000000" w:themeColor="text1"/>
                <w:sz w:val="16"/>
                <w:szCs w:val="16"/>
              </w:rPr>
              <w:t>0.91 (0.74, 1.10)</w:t>
            </w:r>
          </w:p>
        </w:tc>
        <w:tc>
          <w:tcPr>
            <w:tcW w:w="616" w:type="dxa"/>
            <w:tcBorders>
              <w:top w:val="single" w:sz="4" w:space="0" w:color="000000" w:themeColor="text1"/>
              <w:left w:val="nil"/>
              <w:bottom w:val="single" w:sz="4" w:space="0" w:color="000000" w:themeColor="text1"/>
              <w:right w:val="nil"/>
            </w:tcBorders>
            <w:vAlign w:val="center"/>
          </w:tcPr>
          <w:p w14:paraId="5AD0433F" w14:textId="53F00490" w:rsidR="00400E01" w:rsidRPr="000F4B8D" w:rsidRDefault="00400E01" w:rsidP="00400E01">
            <w:pPr>
              <w:pStyle w:val="NormalWeb"/>
              <w:spacing w:before="0" w:beforeAutospacing="0" w:after="0" w:afterAutospacing="0"/>
              <w:jc w:val="center"/>
              <w:rPr>
                <w:color w:val="000000" w:themeColor="text1"/>
                <w:sz w:val="16"/>
                <w:szCs w:val="16"/>
              </w:rPr>
            </w:pPr>
            <w:r>
              <w:rPr>
                <w:color w:val="000000" w:themeColor="text1"/>
                <w:sz w:val="16"/>
                <w:szCs w:val="16"/>
              </w:rPr>
              <w:t>10634</w:t>
            </w:r>
          </w:p>
        </w:tc>
        <w:tc>
          <w:tcPr>
            <w:tcW w:w="1290" w:type="dxa"/>
            <w:tcBorders>
              <w:top w:val="single" w:sz="4" w:space="0" w:color="000000" w:themeColor="text1"/>
              <w:left w:val="nil"/>
              <w:bottom w:val="single" w:sz="4" w:space="0" w:color="000000" w:themeColor="text1"/>
            </w:tcBorders>
            <w:vAlign w:val="center"/>
          </w:tcPr>
          <w:p w14:paraId="02B0BE21" w14:textId="77777777" w:rsidR="00400E01" w:rsidRPr="000F4B8D" w:rsidRDefault="00400E01" w:rsidP="00400E01">
            <w:pPr>
              <w:pStyle w:val="NormalWeb"/>
              <w:spacing w:before="0" w:beforeAutospacing="0" w:after="0" w:afterAutospacing="0"/>
              <w:jc w:val="center"/>
              <w:rPr>
                <w:color w:val="000000" w:themeColor="text1"/>
                <w:sz w:val="16"/>
                <w:szCs w:val="16"/>
              </w:rPr>
            </w:pPr>
            <w:r w:rsidRPr="000F4B8D">
              <w:rPr>
                <w:color w:val="000000" w:themeColor="text1"/>
                <w:sz w:val="16"/>
                <w:szCs w:val="16"/>
              </w:rPr>
              <w:t>1.06 (0.88, 1.36)</w:t>
            </w:r>
          </w:p>
        </w:tc>
      </w:tr>
      <w:tr w:rsidR="00400E01" w:rsidRPr="000F4B8D" w14:paraId="37A9186A" w14:textId="77777777" w:rsidTr="002A181C">
        <w:trPr>
          <w:trHeight w:val="432"/>
        </w:trPr>
        <w:tc>
          <w:tcPr>
            <w:tcW w:w="1506" w:type="dxa"/>
            <w:tcBorders>
              <w:top w:val="single" w:sz="4" w:space="0" w:color="000000" w:themeColor="text1"/>
              <w:bottom w:val="single" w:sz="4" w:space="0" w:color="000000" w:themeColor="text1"/>
              <w:right w:val="nil"/>
            </w:tcBorders>
            <w:vAlign w:val="center"/>
          </w:tcPr>
          <w:p w14:paraId="67EE9E79" w14:textId="77777777" w:rsidR="00400E01" w:rsidRPr="000F4B8D" w:rsidRDefault="00400E01" w:rsidP="00400E01">
            <w:pPr>
              <w:pStyle w:val="NormalWeb"/>
              <w:spacing w:before="0" w:beforeAutospacing="0" w:after="0" w:afterAutospacing="0"/>
              <w:rPr>
                <w:rFonts w:ascii="Times" w:hAnsi="Times" w:cs="Times"/>
                <w:color w:val="000000" w:themeColor="text1"/>
                <w:sz w:val="20"/>
                <w:szCs w:val="20"/>
              </w:rPr>
            </w:pPr>
            <w:r>
              <w:rPr>
                <w:rFonts w:ascii="Times" w:hAnsi="Times" w:cs="Times"/>
                <w:color w:val="000000" w:themeColor="text1"/>
                <w:sz w:val="20"/>
                <w:szCs w:val="20"/>
              </w:rPr>
              <w:t xml:space="preserve">NH </w:t>
            </w:r>
            <w:r w:rsidRPr="000F4B8D">
              <w:rPr>
                <w:rFonts w:ascii="Times" w:hAnsi="Times" w:cs="Times"/>
                <w:color w:val="000000" w:themeColor="text1"/>
                <w:sz w:val="20"/>
                <w:szCs w:val="20"/>
              </w:rPr>
              <w:t>Black/ African American</w:t>
            </w:r>
          </w:p>
        </w:tc>
        <w:tc>
          <w:tcPr>
            <w:tcW w:w="705" w:type="dxa"/>
            <w:tcBorders>
              <w:top w:val="single" w:sz="4" w:space="0" w:color="000000" w:themeColor="text1"/>
              <w:left w:val="nil"/>
              <w:bottom w:val="single" w:sz="4" w:space="0" w:color="000000" w:themeColor="text1"/>
              <w:right w:val="nil"/>
            </w:tcBorders>
            <w:vAlign w:val="center"/>
          </w:tcPr>
          <w:p w14:paraId="48428816" w14:textId="27FF6CCD" w:rsidR="00400E01" w:rsidRPr="000F4B8D" w:rsidRDefault="00400E01" w:rsidP="00400E01">
            <w:pPr>
              <w:pStyle w:val="NormalWeb"/>
              <w:spacing w:before="0" w:beforeAutospacing="0" w:after="0" w:afterAutospacing="0"/>
              <w:jc w:val="center"/>
              <w:rPr>
                <w:rFonts w:ascii="Times" w:hAnsi="Times" w:cs="Times"/>
                <w:color w:val="000000" w:themeColor="text1"/>
                <w:sz w:val="16"/>
                <w:szCs w:val="16"/>
              </w:rPr>
            </w:pPr>
            <w:r>
              <w:rPr>
                <w:rFonts w:ascii="Times" w:hAnsi="Times" w:cs="Times"/>
                <w:color w:val="000000" w:themeColor="text1"/>
                <w:sz w:val="16"/>
                <w:szCs w:val="16"/>
              </w:rPr>
              <w:t>1031</w:t>
            </w:r>
          </w:p>
        </w:tc>
        <w:tc>
          <w:tcPr>
            <w:tcW w:w="1458" w:type="dxa"/>
            <w:tcBorders>
              <w:top w:val="single" w:sz="4" w:space="0" w:color="000000" w:themeColor="text1"/>
              <w:left w:val="nil"/>
              <w:bottom w:val="single" w:sz="4" w:space="0" w:color="000000" w:themeColor="text1"/>
              <w:right w:val="nil"/>
            </w:tcBorders>
            <w:vAlign w:val="center"/>
          </w:tcPr>
          <w:p w14:paraId="3B6B7EB2" w14:textId="77777777" w:rsidR="00400E01" w:rsidRPr="00B159D4" w:rsidRDefault="00400E01" w:rsidP="00400E01">
            <w:pPr>
              <w:pStyle w:val="NormalWeb"/>
              <w:spacing w:before="0" w:beforeAutospacing="0" w:after="0" w:afterAutospacing="0"/>
              <w:jc w:val="center"/>
              <w:rPr>
                <w:rFonts w:ascii="Times" w:hAnsi="Times" w:cs="Times"/>
                <w:b/>
                <w:color w:val="000000" w:themeColor="text1"/>
                <w:sz w:val="16"/>
                <w:szCs w:val="16"/>
              </w:rPr>
            </w:pPr>
            <w:r w:rsidRPr="00B159D4">
              <w:rPr>
                <w:rFonts w:ascii="Times" w:hAnsi="Times" w:cs="Times"/>
                <w:b/>
                <w:color w:val="000000" w:themeColor="text1"/>
                <w:sz w:val="16"/>
                <w:szCs w:val="16"/>
              </w:rPr>
              <w:t>1.43 (1.28, 1.61)</w:t>
            </w:r>
          </w:p>
        </w:tc>
        <w:tc>
          <w:tcPr>
            <w:tcW w:w="623" w:type="dxa"/>
            <w:tcBorders>
              <w:top w:val="single" w:sz="4" w:space="0" w:color="000000" w:themeColor="text1"/>
              <w:left w:val="nil"/>
              <w:bottom w:val="single" w:sz="4" w:space="0" w:color="000000" w:themeColor="text1"/>
              <w:right w:val="nil"/>
            </w:tcBorders>
            <w:vAlign w:val="center"/>
          </w:tcPr>
          <w:p w14:paraId="25E8502D" w14:textId="128725B8" w:rsidR="00400E01" w:rsidRPr="000F4B8D" w:rsidRDefault="00400E01" w:rsidP="00400E01">
            <w:pPr>
              <w:pStyle w:val="NormalWeb"/>
              <w:spacing w:before="0" w:beforeAutospacing="0" w:after="0" w:afterAutospacing="0"/>
              <w:jc w:val="center"/>
              <w:rPr>
                <w:rFonts w:ascii="Times" w:hAnsi="Times" w:cs="Times"/>
                <w:color w:val="000000" w:themeColor="text1"/>
                <w:sz w:val="16"/>
                <w:szCs w:val="16"/>
              </w:rPr>
            </w:pPr>
            <w:r>
              <w:rPr>
                <w:rFonts w:ascii="Times" w:hAnsi="Times" w:cs="Times"/>
                <w:color w:val="000000" w:themeColor="text1"/>
                <w:sz w:val="16"/>
                <w:szCs w:val="16"/>
              </w:rPr>
              <w:t>2009</w:t>
            </w:r>
          </w:p>
        </w:tc>
        <w:tc>
          <w:tcPr>
            <w:tcW w:w="1373" w:type="dxa"/>
            <w:tcBorders>
              <w:top w:val="single" w:sz="4" w:space="0" w:color="000000" w:themeColor="text1"/>
              <w:left w:val="nil"/>
              <w:bottom w:val="single" w:sz="4" w:space="0" w:color="000000" w:themeColor="text1"/>
              <w:right w:val="nil"/>
            </w:tcBorders>
            <w:vAlign w:val="center"/>
          </w:tcPr>
          <w:p w14:paraId="5C589C32" w14:textId="77777777" w:rsidR="00400E01" w:rsidRPr="000F4B8D" w:rsidRDefault="00400E01" w:rsidP="00400E01">
            <w:pPr>
              <w:pStyle w:val="NormalWeb"/>
              <w:spacing w:before="0" w:beforeAutospacing="0" w:after="0" w:afterAutospacing="0"/>
              <w:jc w:val="center"/>
              <w:rPr>
                <w:rFonts w:ascii="Times" w:hAnsi="Times" w:cs="Times"/>
                <w:color w:val="000000" w:themeColor="text1"/>
                <w:sz w:val="16"/>
                <w:szCs w:val="16"/>
              </w:rPr>
            </w:pPr>
            <w:r w:rsidRPr="000F4B8D">
              <w:rPr>
                <w:rFonts w:ascii="Times" w:hAnsi="Times" w:cs="Times"/>
                <w:color w:val="000000" w:themeColor="text1"/>
                <w:sz w:val="16"/>
                <w:szCs w:val="16"/>
              </w:rPr>
              <w:t>1.24 (0.90, 1.72)</w:t>
            </w:r>
          </w:p>
        </w:tc>
        <w:tc>
          <w:tcPr>
            <w:tcW w:w="764" w:type="dxa"/>
            <w:tcBorders>
              <w:top w:val="single" w:sz="4" w:space="0" w:color="000000" w:themeColor="text1"/>
              <w:left w:val="nil"/>
              <w:bottom w:val="single" w:sz="4" w:space="0" w:color="000000" w:themeColor="text1"/>
              <w:right w:val="nil"/>
            </w:tcBorders>
            <w:vAlign w:val="center"/>
          </w:tcPr>
          <w:p w14:paraId="4E6D1FCD" w14:textId="1C3BF79E" w:rsidR="00400E01" w:rsidRPr="000F4B8D" w:rsidRDefault="00400E01" w:rsidP="00400E01">
            <w:pPr>
              <w:pStyle w:val="NormalWeb"/>
              <w:spacing w:before="0" w:beforeAutospacing="0" w:after="0" w:afterAutospacing="0"/>
              <w:jc w:val="center"/>
              <w:rPr>
                <w:color w:val="000000" w:themeColor="text1"/>
                <w:sz w:val="16"/>
                <w:szCs w:val="16"/>
              </w:rPr>
            </w:pPr>
            <w:r>
              <w:rPr>
                <w:color w:val="000000" w:themeColor="text1"/>
                <w:sz w:val="16"/>
                <w:szCs w:val="16"/>
              </w:rPr>
              <w:t>3298</w:t>
            </w:r>
          </w:p>
        </w:tc>
        <w:tc>
          <w:tcPr>
            <w:tcW w:w="1290" w:type="dxa"/>
            <w:tcBorders>
              <w:top w:val="single" w:sz="4" w:space="0" w:color="000000" w:themeColor="text1"/>
              <w:left w:val="nil"/>
              <w:bottom w:val="single" w:sz="4" w:space="0" w:color="000000" w:themeColor="text1"/>
              <w:right w:val="nil"/>
            </w:tcBorders>
            <w:vAlign w:val="center"/>
          </w:tcPr>
          <w:p w14:paraId="4B69DC0E" w14:textId="77777777" w:rsidR="00400E01" w:rsidRPr="00B159D4" w:rsidRDefault="00400E01" w:rsidP="00400E01">
            <w:pPr>
              <w:pStyle w:val="NormalWeb"/>
              <w:spacing w:before="0" w:beforeAutospacing="0" w:after="0" w:afterAutospacing="0"/>
              <w:jc w:val="center"/>
              <w:rPr>
                <w:b/>
                <w:color w:val="000000" w:themeColor="text1"/>
                <w:sz w:val="16"/>
                <w:szCs w:val="16"/>
              </w:rPr>
            </w:pPr>
            <w:r w:rsidRPr="00B159D4">
              <w:rPr>
                <w:b/>
                <w:color w:val="000000" w:themeColor="text1"/>
                <w:sz w:val="16"/>
                <w:szCs w:val="16"/>
              </w:rPr>
              <w:t>1.90 (1.49, 2.41)</w:t>
            </w:r>
          </w:p>
        </w:tc>
        <w:tc>
          <w:tcPr>
            <w:tcW w:w="616" w:type="dxa"/>
            <w:tcBorders>
              <w:top w:val="single" w:sz="4" w:space="0" w:color="000000" w:themeColor="text1"/>
              <w:left w:val="nil"/>
              <w:bottom w:val="single" w:sz="4" w:space="0" w:color="000000" w:themeColor="text1"/>
              <w:right w:val="nil"/>
            </w:tcBorders>
            <w:vAlign w:val="center"/>
          </w:tcPr>
          <w:p w14:paraId="372BE419" w14:textId="28782D8A" w:rsidR="00400E01" w:rsidRPr="000F4B8D" w:rsidRDefault="00400E01" w:rsidP="00400E01">
            <w:pPr>
              <w:pStyle w:val="NormalWeb"/>
              <w:spacing w:before="0" w:beforeAutospacing="0" w:after="0" w:afterAutospacing="0"/>
              <w:jc w:val="center"/>
              <w:rPr>
                <w:color w:val="000000" w:themeColor="text1"/>
                <w:sz w:val="16"/>
                <w:szCs w:val="16"/>
              </w:rPr>
            </w:pPr>
            <w:r>
              <w:rPr>
                <w:color w:val="000000" w:themeColor="text1"/>
                <w:sz w:val="16"/>
                <w:szCs w:val="16"/>
              </w:rPr>
              <w:t>3298</w:t>
            </w:r>
          </w:p>
        </w:tc>
        <w:tc>
          <w:tcPr>
            <w:tcW w:w="1290" w:type="dxa"/>
            <w:tcBorders>
              <w:top w:val="single" w:sz="4" w:space="0" w:color="000000" w:themeColor="text1"/>
              <w:left w:val="nil"/>
              <w:bottom w:val="single" w:sz="4" w:space="0" w:color="000000" w:themeColor="text1"/>
            </w:tcBorders>
            <w:vAlign w:val="center"/>
          </w:tcPr>
          <w:p w14:paraId="29DA52D9" w14:textId="77777777" w:rsidR="00400E01" w:rsidRPr="000F4B8D" w:rsidRDefault="00400E01" w:rsidP="00400E01">
            <w:pPr>
              <w:pStyle w:val="NormalWeb"/>
              <w:spacing w:before="0" w:beforeAutospacing="0" w:after="0" w:afterAutospacing="0"/>
              <w:jc w:val="center"/>
              <w:rPr>
                <w:color w:val="000000" w:themeColor="text1"/>
                <w:sz w:val="16"/>
                <w:szCs w:val="16"/>
              </w:rPr>
            </w:pPr>
            <w:r w:rsidRPr="000F4B8D">
              <w:rPr>
                <w:color w:val="000000" w:themeColor="text1"/>
                <w:sz w:val="16"/>
                <w:szCs w:val="16"/>
              </w:rPr>
              <w:t>1.21 (0.90, 1.79)</w:t>
            </w:r>
          </w:p>
        </w:tc>
      </w:tr>
      <w:tr w:rsidR="00400E01" w:rsidRPr="000F4B8D" w14:paraId="2239CB21" w14:textId="77777777" w:rsidTr="002A181C">
        <w:trPr>
          <w:trHeight w:val="432"/>
        </w:trPr>
        <w:tc>
          <w:tcPr>
            <w:tcW w:w="1506" w:type="dxa"/>
            <w:tcBorders>
              <w:top w:val="single" w:sz="4" w:space="0" w:color="000000" w:themeColor="text1"/>
              <w:bottom w:val="single" w:sz="4" w:space="0" w:color="000000" w:themeColor="text1"/>
              <w:right w:val="nil"/>
            </w:tcBorders>
            <w:vAlign w:val="center"/>
          </w:tcPr>
          <w:p w14:paraId="6D1A5C38" w14:textId="77777777" w:rsidR="00400E01" w:rsidRPr="000F4B8D" w:rsidRDefault="00400E01" w:rsidP="00400E01">
            <w:pPr>
              <w:pStyle w:val="NormalWeb"/>
              <w:spacing w:before="0" w:beforeAutospacing="0" w:after="0" w:afterAutospacing="0"/>
              <w:rPr>
                <w:rFonts w:ascii="Times" w:hAnsi="Times" w:cs="Times"/>
                <w:color w:val="000000" w:themeColor="text1"/>
                <w:sz w:val="20"/>
                <w:szCs w:val="20"/>
              </w:rPr>
            </w:pPr>
            <w:r>
              <w:rPr>
                <w:rFonts w:ascii="Times" w:hAnsi="Times" w:cs="Times"/>
                <w:color w:val="000000" w:themeColor="text1"/>
                <w:sz w:val="20"/>
                <w:szCs w:val="20"/>
              </w:rPr>
              <w:t xml:space="preserve">NH </w:t>
            </w:r>
            <w:r w:rsidRPr="000F4B8D">
              <w:rPr>
                <w:rFonts w:ascii="Times" w:hAnsi="Times" w:cs="Times"/>
                <w:color w:val="000000" w:themeColor="text1"/>
                <w:sz w:val="20"/>
                <w:szCs w:val="20"/>
              </w:rPr>
              <w:t>Hawaiian/ Pacific Islander</w:t>
            </w:r>
          </w:p>
        </w:tc>
        <w:tc>
          <w:tcPr>
            <w:tcW w:w="705" w:type="dxa"/>
            <w:tcBorders>
              <w:top w:val="single" w:sz="4" w:space="0" w:color="000000" w:themeColor="text1"/>
              <w:left w:val="nil"/>
              <w:bottom w:val="single" w:sz="4" w:space="0" w:color="000000" w:themeColor="text1"/>
              <w:right w:val="nil"/>
            </w:tcBorders>
            <w:vAlign w:val="center"/>
          </w:tcPr>
          <w:p w14:paraId="2750B5A6" w14:textId="12C7B624" w:rsidR="00400E01" w:rsidRPr="000F4B8D" w:rsidRDefault="00400E01" w:rsidP="00400E01">
            <w:pPr>
              <w:pStyle w:val="NormalWeb"/>
              <w:spacing w:before="0" w:beforeAutospacing="0" w:after="0" w:afterAutospacing="0"/>
              <w:jc w:val="center"/>
              <w:rPr>
                <w:rFonts w:ascii="Times" w:hAnsi="Times" w:cs="Times"/>
                <w:color w:val="000000" w:themeColor="text1"/>
                <w:sz w:val="16"/>
                <w:szCs w:val="16"/>
              </w:rPr>
            </w:pPr>
            <w:r>
              <w:rPr>
                <w:rFonts w:ascii="Times" w:hAnsi="Times" w:cs="Times"/>
                <w:color w:val="000000" w:themeColor="text1"/>
                <w:sz w:val="16"/>
                <w:szCs w:val="16"/>
              </w:rPr>
              <w:t>265</w:t>
            </w:r>
          </w:p>
        </w:tc>
        <w:tc>
          <w:tcPr>
            <w:tcW w:w="1458" w:type="dxa"/>
            <w:tcBorders>
              <w:top w:val="single" w:sz="4" w:space="0" w:color="000000" w:themeColor="text1"/>
              <w:left w:val="nil"/>
              <w:bottom w:val="single" w:sz="4" w:space="0" w:color="000000" w:themeColor="text1"/>
              <w:right w:val="nil"/>
            </w:tcBorders>
            <w:vAlign w:val="center"/>
          </w:tcPr>
          <w:p w14:paraId="5E556AF5" w14:textId="77777777" w:rsidR="00400E01" w:rsidRPr="000F4B8D" w:rsidRDefault="00400E01" w:rsidP="00400E01">
            <w:pPr>
              <w:pStyle w:val="NormalWeb"/>
              <w:spacing w:before="0" w:beforeAutospacing="0" w:after="0" w:afterAutospacing="0"/>
              <w:jc w:val="center"/>
              <w:rPr>
                <w:rFonts w:ascii="Times" w:hAnsi="Times" w:cs="Times"/>
                <w:color w:val="000000" w:themeColor="text1"/>
                <w:sz w:val="16"/>
                <w:szCs w:val="16"/>
              </w:rPr>
            </w:pPr>
            <w:r w:rsidRPr="000F4B8D">
              <w:rPr>
                <w:rFonts w:ascii="Times" w:hAnsi="Times" w:cs="Times"/>
                <w:color w:val="000000" w:themeColor="text1"/>
                <w:sz w:val="16"/>
                <w:szCs w:val="16"/>
              </w:rPr>
              <w:t>1.06 (0.82, 1.36)</w:t>
            </w:r>
          </w:p>
        </w:tc>
        <w:tc>
          <w:tcPr>
            <w:tcW w:w="623" w:type="dxa"/>
            <w:tcBorders>
              <w:top w:val="single" w:sz="4" w:space="0" w:color="000000" w:themeColor="text1"/>
              <w:left w:val="nil"/>
              <w:bottom w:val="single" w:sz="4" w:space="0" w:color="000000" w:themeColor="text1"/>
              <w:right w:val="nil"/>
            </w:tcBorders>
            <w:vAlign w:val="center"/>
          </w:tcPr>
          <w:p w14:paraId="0DF5280D" w14:textId="2D0A5743" w:rsidR="00400E01" w:rsidRPr="000F4B8D" w:rsidRDefault="00400E01" w:rsidP="00400E01">
            <w:pPr>
              <w:pStyle w:val="NormalWeb"/>
              <w:spacing w:before="0" w:beforeAutospacing="0" w:after="0" w:afterAutospacing="0"/>
              <w:jc w:val="center"/>
              <w:rPr>
                <w:rFonts w:ascii="Times" w:hAnsi="Times" w:cs="Times"/>
                <w:color w:val="000000" w:themeColor="text1"/>
                <w:sz w:val="16"/>
                <w:szCs w:val="16"/>
              </w:rPr>
            </w:pPr>
            <w:r>
              <w:rPr>
                <w:rFonts w:ascii="Times" w:hAnsi="Times" w:cs="Times"/>
                <w:color w:val="000000" w:themeColor="text1"/>
                <w:sz w:val="16"/>
                <w:szCs w:val="16"/>
              </w:rPr>
              <w:t>639</w:t>
            </w:r>
          </w:p>
        </w:tc>
        <w:tc>
          <w:tcPr>
            <w:tcW w:w="1373" w:type="dxa"/>
            <w:tcBorders>
              <w:top w:val="single" w:sz="4" w:space="0" w:color="000000" w:themeColor="text1"/>
              <w:left w:val="nil"/>
              <w:bottom w:val="single" w:sz="4" w:space="0" w:color="000000" w:themeColor="text1"/>
              <w:right w:val="nil"/>
            </w:tcBorders>
            <w:vAlign w:val="center"/>
          </w:tcPr>
          <w:p w14:paraId="110E358B" w14:textId="77777777" w:rsidR="00400E01" w:rsidRPr="000F4B8D" w:rsidRDefault="00400E01" w:rsidP="00400E01">
            <w:pPr>
              <w:pStyle w:val="NormalWeb"/>
              <w:spacing w:before="0" w:beforeAutospacing="0" w:after="0" w:afterAutospacing="0"/>
              <w:jc w:val="center"/>
              <w:rPr>
                <w:rFonts w:ascii="Times" w:hAnsi="Times" w:cs="Times"/>
                <w:color w:val="000000" w:themeColor="text1"/>
                <w:sz w:val="16"/>
                <w:szCs w:val="16"/>
              </w:rPr>
            </w:pPr>
            <w:r w:rsidRPr="000F4B8D">
              <w:rPr>
                <w:rFonts w:ascii="Times" w:hAnsi="Times" w:cs="Times"/>
                <w:color w:val="000000" w:themeColor="text1"/>
                <w:sz w:val="16"/>
                <w:szCs w:val="16"/>
              </w:rPr>
              <w:t>0.45 (0.17, 1.21)</w:t>
            </w:r>
          </w:p>
        </w:tc>
        <w:tc>
          <w:tcPr>
            <w:tcW w:w="764" w:type="dxa"/>
            <w:tcBorders>
              <w:top w:val="single" w:sz="4" w:space="0" w:color="000000" w:themeColor="text1"/>
              <w:left w:val="nil"/>
              <w:bottom w:val="single" w:sz="4" w:space="0" w:color="000000" w:themeColor="text1"/>
              <w:right w:val="nil"/>
            </w:tcBorders>
            <w:vAlign w:val="center"/>
          </w:tcPr>
          <w:p w14:paraId="6928DF86" w14:textId="3F00F000" w:rsidR="00400E01" w:rsidRPr="000F4B8D" w:rsidRDefault="00400E01" w:rsidP="00400E01">
            <w:pPr>
              <w:pStyle w:val="NormalWeb"/>
              <w:spacing w:before="0" w:beforeAutospacing="0" w:after="0" w:afterAutospacing="0"/>
              <w:jc w:val="center"/>
              <w:rPr>
                <w:color w:val="000000" w:themeColor="text1"/>
                <w:sz w:val="16"/>
                <w:szCs w:val="16"/>
              </w:rPr>
            </w:pPr>
            <w:r>
              <w:rPr>
                <w:color w:val="000000" w:themeColor="text1"/>
                <w:sz w:val="16"/>
                <w:szCs w:val="16"/>
              </w:rPr>
              <w:t>991</w:t>
            </w:r>
          </w:p>
        </w:tc>
        <w:tc>
          <w:tcPr>
            <w:tcW w:w="1290" w:type="dxa"/>
            <w:tcBorders>
              <w:top w:val="single" w:sz="4" w:space="0" w:color="000000" w:themeColor="text1"/>
              <w:left w:val="nil"/>
              <w:bottom w:val="single" w:sz="4" w:space="0" w:color="000000" w:themeColor="text1"/>
              <w:right w:val="nil"/>
            </w:tcBorders>
            <w:vAlign w:val="center"/>
          </w:tcPr>
          <w:p w14:paraId="60140333" w14:textId="77777777" w:rsidR="00400E01" w:rsidRPr="000F4B8D" w:rsidRDefault="00400E01" w:rsidP="00400E01">
            <w:pPr>
              <w:pStyle w:val="NormalWeb"/>
              <w:spacing w:before="0" w:beforeAutospacing="0" w:after="0" w:afterAutospacing="0"/>
              <w:jc w:val="center"/>
              <w:rPr>
                <w:color w:val="000000" w:themeColor="text1"/>
                <w:sz w:val="16"/>
                <w:szCs w:val="16"/>
              </w:rPr>
            </w:pPr>
            <w:r w:rsidRPr="000F4B8D">
              <w:rPr>
                <w:color w:val="000000" w:themeColor="text1"/>
                <w:sz w:val="16"/>
                <w:szCs w:val="16"/>
              </w:rPr>
              <w:t>0.96 (0.55, 1.68)</w:t>
            </w:r>
          </w:p>
        </w:tc>
        <w:tc>
          <w:tcPr>
            <w:tcW w:w="616" w:type="dxa"/>
            <w:tcBorders>
              <w:top w:val="single" w:sz="4" w:space="0" w:color="000000" w:themeColor="text1"/>
              <w:left w:val="nil"/>
              <w:bottom w:val="single" w:sz="4" w:space="0" w:color="000000" w:themeColor="text1"/>
              <w:right w:val="nil"/>
            </w:tcBorders>
            <w:vAlign w:val="center"/>
          </w:tcPr>
          <w:p w14:paraId="7ACBAE77" w14:textId="03409F29" w:rsidR="00400E01" w:rsidRPr="000F4B8D" w:rsidRDefault="00400E01" w:rsidP="00400E01">
            <w:pPr>
              <w:pStyle w:val="NormalWeb"/>
              <w:spacing w:before="0" w:beforeAutospacing="0" w:after="0" w:afterAutospacing="0"/>
              <w:jc w:val="center"/>
              <w:rPr>
                <w:color w:val="000000" w:themeColor="text1"/>
                <w:sz w:val="16"/>
                <w:szCs w:val="16"/>
              </w:rPr>
            </w:pPr>
            <w:r>
              <w:rPr>
                <w:color w:val="000000" w:themeColor="text1"/>
                <w:sz w:val="16"/>
                <w:szCs w:val="16"/>
              </w:rPr>
              <w:t>991</w:t>
            </w:r>
          </w:p>
        </w:tc>
        <w:tc>
          <w:tcPr>
            <w:tcW w:w="1290" w:type="dxa"/>
            <w:tcBorders>
              <w:top w:val="single" w:sz="4" w:space="0" w:color="000000" w:themeColor="text1"/>
              <w:left w:val="nil"/>
              <w:bottom w:val="single" w:sz="4" w:space="0" w:color="000000" w:themeColor="text1"/>
            </w:tcBorders>
            <w:vAlign w:val="center"/>
          </w:tcPr>
          <w:p w14:paraId="72F0FD7E" w14:textId="77777777" w:rsidR="00400E01" w:rsidRPr="000F4B8D" w:rsidRDefault="00400E01" w:rsidP="00400E01">
            <w:pPr>
              <w:tabs>
                <w:tab w:val="left" w:pos="615"/>
              </w:tabs>
              <w:jc w:val="center"/>
              <w:rPr>
                <w:color w:val="000000" w:themeColor="text1"/>
                <w:sz w:val="16"/>
                <w:szCs w:val="16"/>
              </w:rPr>
            </w:pPr>
            <w:r w:rsidRPr="000F4B8D">
              <w:rPr>
                <w:color w:val="000000" w:themeColor="text1"/>
                <w:sz w:val="16"/>
                <w:szCs w:val="16"/>
              </w:rPr>
              <w:t>0.78 (0.38, 1.71)</w:t>
            </w:r>
          </w:p>
        </w:tc>
      </w:tr>
      <w:tr w:rsidR="00400E01" w:rsidRPr="00B159D4" w14:paraId="6EB557DC" w14:textId="77777777" w:rsidTr="002A181C">
        <w:trPr>
          <w:trHeight w:val="432"/>
        </w:trPr>
        <w:tc>
          <w:tcPr>
            <w:tcW w:w="1506" w:type="dxa"/>
            <w:tcBorders>
              <w:top w:val="single" w:sz="4" w:space="0" w:color="000000" w:themeColor="text1"/>
              <w:bottom w:val="single" w:sz="4" w:space="0" w:color="000000" w:themeColor="text1"/>
              <w:right w:val="nil"/>
            </w:tcBorders>
            <w:vAlign w:val="center"/>
          </w:tcPr>
          <w:p w14:paraId="1E326A50" w14:textId="77777777" w:rsidR="00400E01" w:rsidRPr="000F4B8D" w:rsidRDefault="00400E01" w:rsidP="00400E01">
            <w:pPr>
              <w:pStyle w:val="NormalWeb"/>
              <w:spacing w:before="0" w:beforeAutospacing="0" w:after="0" w:afterAutospacing="0"/>
              <w:rPr>
                <w:rFonts w:ascii="Times" w:hAnsi="Times" w:cs="Times"/>
                <w:color w:val="000000" w:themeColor="text1"/>
                <w:sz w:val="20"/>
                <w:szCs w:val="20"/>
              </w:rPr>
            </w:pPr>
            <w:r w:rsidRPr="000F4B8D">
              <w:rPr>
                <w:rFonts w:ascii="Times" w:hAnsi="Times" w:cs="Times"/>
                <w:color w:val="000000" w:themeColor="text1"/>
                <w:sz w:val="20"/>
                <w:szCs w:val="20"/>
              </w:rPr>
              <w:t>Hispanic/Latinx</w:t>
            </w:r>
          </w:p>
        </w:tc>
        <w:tc>
          <w:tcPr>
            <w:tcW w:w="705" w:type="dxa"/>
            <w:tcBorders>
              <w:top w:val="single" w:sz="4" w:space="0" w:color="000000" w:themeColor="text1"/>
              <w:left w:val="nil"/>
              <w:bottom w:val="single" w:sz="4" w:space="0" w:color="000000" w:themeColor="text1"/>
              <w:right w:val="nil"/>
            </w:tcBorders>
            <w:vAlign w:val="center"/>
          </w:tcPr>
          <w:p w14:paraId="0F2530D1" w14:textId="0939A9C9" w:rsidR="00400E01" w:rsidRPr="000F4B8D" w:rsidRDefault="00400E01" w:rsidP="00400E01">
            <w:pPr>
              <w:pStyle w:val="NormalWeb"/>
              <w:spacing w:before="0" w:beforeAutospacing="0" w:after="0" w:afterAutospacing="0"/>
              <w:jc w:val="center"/>
              <w:rPr>
                <w:rFonts w:ascii="Times" w:hAnsi="Times" w:cs="Times"/>
                <w:color w:val="000000" w:themeColor="text1"/>
                <w:sz w:val="16"/>
                <w:szCs w:val="16"/>
              </w:rPr>
            </w:pPr>
            <w:r>
              <w:rPr>
                <w:rFonts w:ascii="Times" w:hAnsi="Times" w:cs="Times"/>
                <w:color w:val="000000" w:themeColor="text1"/>
                <w:sz w:val="16"/>
                <w:szCs w:val="16"/>
              </w:rPr>
              <w:t>2815</w:t>
            </w:r>
          </w:p>
        </w:tc>
        <w:tc>
          <w:tcPr>
            <w:tcW w:w="1458" w:type="dxa"/>
            <w:tcBorders>
              <w:top w:val="single" w:sz="4" w:space="0" w:color="000000" w:themeColor="text1"/>
              <w:left w:val="nil"/>
              <w:bottom w:val="single" w:sz="4" w:space="0" w:color="000000" w:themeColor="text1"/>
              <w:right w:val="nil"/>
            </w:tcBorders>
            <w:vAlign w:val="center"/>
          </w:tcPr>
          <w:p w14:paraId="20CE8CC8" w14:textId="77777777" w:rsidR="00400E01" w:rsidRPr="000F4B8D" w:rsidRDefault="00400E01" w:rsidP="00400E01">
            <w:pPr>
              <w:pStyle w:val="NormalWeb"/>
              <w:spacing w:before="0" w:beforeAutospacing="0" w:after="0" w:afterAutospacing="0"/>
              <w:jc w:val="center"/>
              <w:rPr>
                <w:rFonts w:ascii="Times" w:hAnsi="Times" w:cs="Times"/>
                <w:color w:val="000000" w:themeColor="text1"/>
                <w:sz w:val="16"/>
                <w:szCs w:val="16"/>
              </w:rPr>
            </w:pPr>
            <w:r w:rsidRPr="000F4B8D">
              <w:rPr>
                <w:rFonts w:ascii="Times" w:hAnsi="Times" w:cs="Times"/>
                <w:color w:val="000000" w:themeColor="text1"/>
                <w:sz w:val="16"/>
                <w:szCs w:val="16"/>
              </w:rPr>
              <w:t>1.02 (0.93, 1.12)</w:t>
            </w:r>
          </w:p>
        </w:tc>
        <w:tc>
          <w:tcPr>
            <w:tcW w:w="623" w:type="dxa"/>
            <w:tcBorders>
              <w:top w:val="single" w:sz="4" w:space="0" w:color="000000" w:themeColor="text1"/>
              <w:left w:val="nil"/>
              <w:bottom w:val="single" w:sz="4" w:space="0" w:color="000000" w:themeColor="text1"/>
              <w:right w:val="nil"/>
            </w:tcBorders>
            <w:vAlign w:val="center"/>
          </w:tcPr>
          <w:p w14:paraId="2EFB99BE" w14:textId="4C40A214" w:rsidR="00400E01" w:rsidRPr="000F4B8D" w:rsidRDefault="00400E01" w:rsidP="00400E01">
            <w:pPr>
              <w:pStyle w:val="NormalWeb"/>
              <w:spacing w:before="0" w:beforeAutospacing="0" w:after="0" w:afterAutospacing="0"/>
              <w:jc w:val="center"/>
              <w:rPr>
                <w:rFonts w:ascii="Times" w:hAnsi="Times" w:cs="Times"/>
                <w:color w:val="000000" w:themeColor="text1"/>
                <w:sz w:val="16"/>
                <w:szCs w:val="16"/>
              </w:rPr>
            </w:pPr>
            <w:r>
              <w:rPr>
                <w:rFonts w:ascii="Times" w:hAnsi="Times" w:cs="Times"/>
                <w:color w:val="000000" w:themeColor="text1"/>
                <w:sz w:val="16"/>
                <w:szCs w:val="16"/>
              </w:rPr>
              <w:t>7043</w:t>
            </w:r>
          </w:p>
        </w:tc>
        <w:tc>
          <w:tcPr>
            <w:tcW w:w="1373" w:type="dxa"/>
            <w:tcBorders>
              <w:top w:val="single" w:sz="4" w:space="0" w:color="000000" w:themeColor="text1"/>
              <w:left w:val="nil"/>
              <w:bottom w:val="single" w:sz="4" w:space="0" w:color="000000" w:themeColor="text1"/>
              <w:right w:val="nil"/>
            </w:tcBorders>
            <w:vAlign w:val="center"/>
          </w:tcPr>
          <w:p w14:paraId="0545D3A3" w14:textId="77777777" w:rsidR="00400E01" w:rsidRPr="000F4B8D" w:rsidRDefault="00400E01" w:rsidP="00400E01">
            <w:pPr>
              <w:pStyle w:val="NormalWeb"/>
              <w:spacing w:before="0" w:beforeAutospacing="0" w:after="0" w:afterAutospacing="0"/>
              <w:jc w:val="center"/>
              <w:rPr>
                <w:rFonts w:ascii="Times" w:hAnsi="Times" w:cs="Times"/>
                <w:color w:val="000000" w:themeColor="text1"/>
                <w:sz w:val="16"/>
                <w:szCs w:val="16"/>
              </w:rPr>
            </w:pPr>
            <w:r w:rsidRPr="000F4B8D">
              <w:rPr>
                <w:rFonts w:ascii="Times" w:hAnsi="Times" w:cs="Times"/>
                <w:color w:val="000000" w:themeColor="text1"/>
                <w:sz w:val="16"/>
                <w:szCs w:val="16"/>
              </w:rPr>
              <w:t>0.90 (0.71, 1.12)</w:t>
            </w:r>
          </w:p>
        </w:tc>
        <w:tc>
          <w:tcPr>
            <w:tcW w:w="764" w:type="dxa"/>
            <w:tcBorders>
              <w:top w:val="single" w:sz="4" w:space="0" w:color="000000" w:themeColor="text1"/>
              <w:left w:val="nil"/>
              <w:bottom w:val="single" w:sz="4" w:space="0" w:color="000000" w:themeColor="text1"/>
              <w:right w:val="nil"/>
            </w:tcBorders>
            <w:vAlign w:val="center"/>
          </w:tcPr>
          <w:p w14:paraId="62D4BDE0" w14:textId="598B2404" w:rsidR="00400E01" w:rsidRPr="000F4B8D" w:rsidRDefault="00400E01" w:rsidP="00400E01">
            <w:pPr>
              <w:pStyle w:val="NormalWeb"/>
              <w:spacing w:before="0" w:beforeAutospacing="0" w:after="0" w:afterAutospacing="0"/>
              <w:jc w:val="center"/>
              <w:rPr>
                <w:color w:val="000000" w:themeColor="text1"/>
                <w:sz w:val="16"/>
                <w:szCs w:val="16"/>
              </w:rPr>
            </w:pPr>
            <w:r>
              <w:rPr>
                <w:color w:val="000000" w:themeColor="text1"/>
                <w:sz w:val="16"/>
                <w:szCs w:val="16"/>
              </w:rPr>
              <w:t>10034</w:t>
            </w:r>
          </w:p>
        </w:tc>
        <w:tc>
          <w:tcPr>
            <w:tcW w:w="1290" w:type="dxa"/>
            <w:tcBorders>
              <w:top w:val="single" w:sz="4" w:space="0" w:color="000000" w:themeColor="text1"/>
              <w:left w:val="nil"/>
              <w:bottom w:val="single" w:sz="4" w:space="0" w:color="000000" w:themeColor="text1"/>
              <w:right w:val="nil"/>
            </w:tcBorders>
            <w:vAlign w:val="center"/>
          </w:tcPr>
          <w:p w14:paraId="168513EB" w14:textId="77777777" w:rsidR="00400E01" w:rsidRPr="000F4B8D" w:rsidRDefault="00400E01" w:rsidP="00400E01">
            <w:pPr>
              <w:pStyle w:val="NormalWeb"/>
              <w:spacing w:before="0" w:beforeAutospacing="0" w:after="0" w:afterAutospacing="0"/>
              <w:jc w:val="center"/>
              <w:rPr>
                <w:color w:val="000000" w:themeColor="text1"/>
                <w:sz w:val="16"/>
                <w:szCs w:val="16"/>
              </w:rPr>
            </w:pPr>
            <w:r w:rsidRPr="000F4B8D">
              <w:rPr>
                <w:color w:val="000000" w:themeColor="text1"/>
                <w:sz w:val="16"/>
                <w:szCs w:val="16"/>
              </w:rPr>
              <w:t>0.99 (0.79, 1.22)</w:t>
            </w:r>
          </w:p>
        </w:tc>
        <w:tc>
          <w:tcPr>
            <w:tcW w:w="616" w:type="dxa"/>
            <w:tcBorders>
              <w:top w:val="single" w:sz="4" w:space="0" w:color="000000" w:themeColor="text1"/>
              <w:left w:val="nil"/>
              <w:bottom w:val="single" w:sz="4" w:space="0" w:color="000000" w:themeColor="text1"/>
              <w:right w:val="nil"/>
            </w:tcBorders>
            <w:vAlign w:val="center"/>
          </w:tcPr>
          <w:p w14:paraId="0A59D42C" w14:textId="1E5D5D22" w:rsidR="00400E01" w:rsidRPr="000F4B8D" w:rsidRDefault="00400E01" w:rsidP="00400E01">
            <w:pPr>
              <w:pStyle w:val="NormalWeb"/>
              <w:spacing w:before="0" w:beforeAutospacing="0" w:after="0" w:afterAutospacing="0"/>
              <w:jc w:val="center"/>
              <w:rPr>
                <w:color w:val="000000" w:themeColor="text1"/>
                <w:sz w:val="16"/>
                <w:szCs w:val="16"/>
              </w:rPr>
            </w:pPr>
            <w:r>
              <w:rPr>
                <w:color w:val="000000" w:themeColor="text1"/>
                <w:sz w:val="16"/>
                <w:szCs w:val="16"/>
              </w:rPr>
              <w:t>10034</w:t>
            </w:r>
          </w:p>
        </w:tc>
        <w:tc>
          <w:tcPr>
            <w:tcW w:w="1290" w:type="dxa"/>
            <w:tcBorders>
              <w:top w:val="single" w:sz="4" w:space="0" w:color="000000" w:themeColor="text1"/>
              <w:left w:val="nil"/>
              <w:bottom w:val="single" w:sz="4" w:space="0" w:color="000000" w:themeColor="text1"/>
            </w:tcBorders>
            <w:vAlign w:val="center"/>
          </w:tcPr>
          <w:p w14:paraId="332D5F7F" w14:textId="77777777" w:rsidR="00400E01" w:rsidRPr="00B159D4" w:rsidRDefault="00400E01" w:rsidP="00400E01">
            <w:pPr>
              <w:pStyle w:val="NormalWeb"/>
              <w:spacing w:before="0" w:beforeAutospacing="0" w:after="0" w:afterAutospacing="0"/>
              <w:jc w:val="center"/>
              <w:rPr>
                <w:b/>
                <w:color w:val="000000" w:themeColor="text1"/>
                <w:sz w:val="16"/>
                <w:szCs w:val="16"/>
              </w:rPr>
            </w:pPr>
            <w:r w:rsidRPr="00B159D4">
              <w:rPr>
                <w:b/>
                <w:color w:val="000000" w:themeColor="text1"/>
                <w:sz w:val="16"/>
                <w:szCs w:val="16"/>
              </w:rPr>
              <w:t>1.48 (1.20, 1.86)</w:t>
            </w:r>
          </w:p>
        </w:tc>
      </w:tr>
      <w:tr w:rsidR="00400E01" w:rsidRPr="00B159D4" w14:paraId="4722E4E1" w14:textId="77777777" w:rsidTr="002A181C">
        <w:trPr>
          <w:trHeight w:val="432"/>
        </w:trPr>
        <w:tc>
          <w:tcPr>
            <w:tcW w:w="1506" w:type="dxa"/>
            <w:tcBorders>
              <w:top w:val="single" w:sz="4" w:space="0" w:color="000000" w:themeColor="text1"/>
              <w:bottom w:val="single" w:sz="4" w:space="0" w:color="000000" w:themeColor="text1"/>
              <w:right w:val="nil"/>
            </w:tcBorders>
            <w:vAlign w:val="center"/>
          </w:tcPr>
          <w:p w14:paraId="3DF89320" w14:textId="77777777" w:rsidR="00400E01" w:rsidRPr="000F4B8D" w:rsidRDefault="00400E01" w:rsidP="00400E01">
            <w:pPr>
              <w:pStyle w:val="NormalWeb"/>
              <w:spacing w:before="0" w:beforeAutospacing="0" w:after="0" w:afterAutospacing="0"/>
              <w:rPr>
                <w:rFonts w:ascii="Times" w:hAnsi="Times" w:cs="Times"/>
                <w:color w:val="000000" w:themeColor="text1"/>
                <w:sz w:val="20"/>
                <w:szCs w:val="20"/>
              </w:rPr>
            </w:pPr>
            <w:r>
              <w:rPr>
                <w:rFonts w:ascii="Times" w:hAnsi="Times" w:cs="Times"/>
                <w:color w:val="000000" w:themeColor="text1"/>
                <w:sz w:val="20"/>
                <w:szCs w:val="20"/>
              </w:rPr>
              <w:t xml:space="preserve">NH </w:t>
            </w:r>
            <w:r w:rsidRPr="000F4B8D">
              <w:rPr>
                <w:rFonts w:ascii="Times" w:hAnsi="Times" w:cs="Times"/>
                <w:color w:val="000000" w:themeColor="text1"/>
                <w:sz w:val="20"/>
                <w:szCs w:val="20"/>
              </w:rPr>
              <w:t>Indigenous/ First Persons</w:t>
            </w:r>
          </w:p>
        </w:tc>
        <w:tc>
          <w:tcPr>
            <w:tcW w:w="705" w:type="dxa"/>
            <w:tcBorders>
              <w:top w:val="single" w:sz="4" w:space="0" w:color="000000" w:themeColor="text1"/>
              <w:left w:val="nil"/>
              <w:bottom w:val="single" w:sz="4" w:space="0" w:color="000000" w:themeColor="text1"/>
              <w:right w:val="nil"/>
            </w:tcBorders>
            <w:vAlign w:val="center"/>
          </w:tcPr>
          <w:p w14:paraId="04310460" w14:textId="1F95512D" w:rsidR="00400E01" w:rsidRPr="000F4B8D" w:rsidRDefault="00400E01" w:rsidP="00400E01">
            <w:pPr>
              <w:pStyle w:val="NormalWeb"/>
              <w:spacing w:before="0" w:beforeAutospacing="0" w:after="0" w:afterAutospacing="0"/>
              <w:jc w:val="center"/>
              <w:rPr>
                <w:rFonts w:ascii="Times" w:hAnsi="Times" w:cs="Times"/>
                <w:color w:val="000000" w:themeColor="text1"/>
                <w:sz w:val="16"/>
                <w:szCs w:val="16"/>
              </w:rPr>
            </w:pPr>
            <w:r>
              <w:rPr>
                <w:rFonts w:ascii="Times" w:hAnsi="Times" w:cs="Times"/>
                <w:color w:val="000000" w:themeColor="text1"/>
                <w:sz w:val="16"/>
                <w:szCs w:val="16"/>
              </w:rPr>
              <w:t>231</w:t>
            </w:r>
          </w:p>
        </w:tc>
        <w:tc>
          <w:tcPr>
            <w:tcW w:w="1458" w:type="dxa"/>
            <w:tcBorders>
              <w:top w:val="single" w:sz="4" w:space="0" w:color="000000" w:themeColor="text1"/>
              <w:left w:val="nil"/>
              <w:bottom w:val="single" w:sz="4" w:space="0" w:color="000000" w:themeColor="text1"/>
              <w:right w:val="nil"/>
            </w:tcBorders>
            <w:vAlign w:val="center"/>
          </w:tcPr>
          <w:p w14:paraId="678190DE" w14:textId="77777777" w:rsidR="00400E01" w:rsidRPr="000F4B8D" w:rsidRDefault="00400E01" w:rsidP="00400E01">
            <w:pPr>
              <w:pStyle w:val="NormalWeb"/>
              <w:spacing w:before="0" w:beforeAutospacing="0" w:after="0" w:afterAutospacing="0"/>
              <w:jc w:val="center"/>
              <w:rPr>
                <w:rFonts w:ascii="Times" w:hAnsi="Times" w:cs="Times"/>
                <w:color w:val="000000" w:themeColor="text1"/>
                <w:sz w:val="16"/>
                <w:szCs w:val="16"/>
              </w:rPr>
            </w:pPr>
            <w:r w:rsidRPr="000F4B8D">
              <w:rPr>
                <w:rFonts w:ascii="Times" w:hAnsi="Times" w:cs="Times"/>
                <w:color w:val="000000" w:themeColor="text1"/>
                <w:sz w:val="16"/>
                <w:szCs w:val="16"/>
              </w:rPr>
              <w:t>1.11 (0.85, 1.45)</w:t>
            </w:r>
          </w:p>
        </w:tc>
        <w:tc>
          <w:tcPr>
            <w:tcW w:w="623" w:type="dxa"/>
            <w:tcBorders>
              <w:top w:val="single" w:sz="4" w:space="0" w:color="000000" w:themeColor="text1"/>
              <w:left w:val="nil"/>
              <w:bottom w:val="single" w:sz="4" w:space="0" w:color="000000" w:themeColor="text1"/>
              <w:right w:val="nil"/>
            </w:tcBorders>
            <w:vAlign w:val="center"/>
          </w:tcPr>
          <w:p w14:paraId="709F851D" w14:textId="5024B92C" w:rsidR="00400E01" w:rsidRPr="000F4B8D" w:rsidRDefault="00400E01" w:rsidP="00400E01">
            <w:pPr>
              <w:pStyle w:val="NormalWeb"/>
              <w:spacing w:before="0" w:beforeAutospacing="0" w:after="0" w:afterAutospacing="0"/>
              <w:jc w:val="center"/>
              <w:rPr>
                <w:rFonts w:ascii="Times" w:hAnsi="Times" w:cs="Times"/>
                <w:color w:val="000000" w:themeColor="text1"/>
                <w:sz w:val="16"/>
                <w:szCs w:val="16"/>
              </w:rPr>
            </w:pPr>
            <w:r>
              <w:rPr>
                <w:rFonts w:ascii="Times" w:hAnsi="Times" w:cs="Times"/>
                <w:color w:val="000000" w:themeColor="text1"/>
                <w:sz w:val="16"/>
                <w:szCs w:val="16"/>
              </w:rPr>
              <w:t>499</w:t>
            </w:r>
          </w:p>
        </w:tc>
        <w:tc>
          <w:tcPr>
            <w:tcW w:w="1373" w:type="dxa"/>
            <w:tcBorders>
              <w:top w:val="single" w:sz="4" w:space="0" w:color="000000" w:themeColor="text1"/>
              <w:left w:val="nil"/>
              <w:bottom w:val="single" w:sz="4" w:space="0" w:color="000000" w:themeColor="text1"/>
              <w:right w:val="nil"/>
            </w:tcBorders>
            <w:vAlign w:val="center"/>
          </w:tcPr>
          <w:p w14:paraId="32C29C07" w14:textId="77777777" w:rsidR="00400E01" w:rsidRPr="000F4B8D" w:rsidRDefault="00400E01" w:rsidP="00400E01">
            <w:pPr>
              <w:pStyle w:val="NormalWeb"/>
              <w:spacing w:before="0" w:beforeAutospacing="0" w:after="0" w:afterAutospacing="0"/>
              <w:jc w:val="center"/>
              <w:rPr>
                <w:rFonts w:ascii="Times" w:hAnsi="Times" w:cs="Times"/>
                <w:color w:val="000000" w:themeColor="text1"/>
                <w:sz w:val="16"/>
                <w:szCs w:val="16"/>
              </w:rPr>
            </w:pPr>
            <w:r w:rsidRPr="000F4B8D">
              <w:rPr>
                <w:rFonts w:ascii="Times" w:hAnsi="Times" w:cs="Times"/>
                <w:color w:val="000000" w:themeColor="text1"/>
                <w:sz w:val="16"/>
                <w:szCs w:val="16"/>
              </w:rPr>
              <w:t>1.07 (0.53, 2.16)</w:t>
            </w:r>
          </w:p>
        </w:tc>
        <w:tc>
          <w:tcPr>
            <w:tcW w:w="764" w:type="dxa"/>
            <w:tcBorders>
              <w:top w:val="single" w:sz="4" w:space="0" w:color="000000" w:themeColor="text1"/>
              <w:left w:val="nil"/>
              <w:bottom w:val="single" w:sz="4" w:space="0" w:color="000000" w:themeColor="text1"/>
              <w:right w:val="nil"/>
            </w:tcBorders>
            <w:vAlign w:val="center"/>
          </w:tcPr>
          <w:p w14:paraId="6EE880FF" w14:textId="730BFE96" w:rsidR="00400E01" w:rsidRPr="000F4B8D" w:rsidRDefault="00400E01" w:rsidP="00400E01">
            <w:pPr>
              <w:pStyle w:val="NormalWeb"/>
              <w:spacing w:before="0" w:beforeAutospacing="0" w:after="0" w:afterAutospacing="0"/>
              <w:jc w:val="center"/>
              <w:rPr>
                <w:color w:val="000000" w:themeColor="text1"/>
                <w:sz w:val="16"/>
                <w:szCs w:val="16"/>
              </w:rPr>
            </w:pPr>
            <w:r>
              <w:rPr>
                <w:color w:val="000000" w:themeColor="text1"/>
                <w:sz w:val="16"/>
                <w:szCs w:val="16"/>
              </w:rPr>
              <w:t>756</w:t>
            </w:r>
          </w:p>
        </w:tc>
        <w:tc>
          <w:tcPr>
            <w:tcW w:w="1290" w:type="dxa"/>
            <w:tcBorders>
              <w:top w:val="single" w:sz="4" w:space="0" w:color="000000" w:themeColor="text1"/>
              <w:left w:val="nil"/>
              <w:bottom w:val="single" w:sz="4" w:space="0" w:color="000000" w:themeColor="text1"/>
              <w:right w:val="nil"/>
            </w:tcBorders>
            <w:vAlign w:val="center"/>
          </w:tcPr>
          <w:p w14:paraId="68A9A946" w14:textId="77777777" w:rsidR="00400E01" w:rsidRPr="000F4B8D" w:rsidRDefault="00400E01" w:rsidP="00400E01">
            <w:pPr>
              <w:pStyle w:val="NormalWeb"/>
              <w:spacing w:before="0" w:beforeAutospacing="0" w:after="0" w:afterAutospacing="0"/>
              <w:jc w:val="center"/>
              <w:rPr>
                <w:color w:val="000000" w:themeColor="text1"/>
                <w:sz w:val="16"/>
                <w:szCs w:val="16"/>
              </w:rPr>
            </w:pPr>
            <w:r w:rsidRPr="000F4B8D">
              <w:rPr>
                <w:color w:val="000000" w:themeColor="text1"/>
                <w:sz w:val="16"/>
                <w:szCs w:val="16"/>
              </w:rPr>
              <w:t>1.43 (0.83, 2.44)</w:t>
            </w:r>
          </w:p>
        </w:tc>
        <w:tc>
          <w:tcPr>
            <w:tcW w:w="616" w:type="dxa"/>
            <w:tcBorders>
              <w:top w:val="single" w:sz="4" w:space="0" w:color="000000" w:themeColor="text1"/>
              <w:left w:val="nil"/>
              <w:bottom w:val="single" w:sz="4" w:space="0" w:color="000000" w:themeColor="text1"/>
              <w:right w:val="nil"/>
            </w:tcBorders>
            <w:vAlign w:val="center"/>
          </w:tcPr>
          <w:p w14:paraId="4FCFDF56" w14:textId="3D6E92AB" w:rsidR="00400E01" w:rsidRPr="000F4B8D" w:rsidRDefault="00400E01" w:rsidP="00400E01">
            <w:pPr>
              <w:pStyle w:val="NormalWeb"/>
              <w:spacing w:before="0" w:beforeAutospacing="0" w:after="0" w:afterAutospacing="0"/>
              <w:jc w:val="center"/>
              <w:rPr>
                <w:color w:val="000000" w:themeColor="text1"/>
                <w:sz w:val="16"/>
                <w:szCs w:val="16"/>
              </w:rPr>
            </w:pPr>
            <w:r>
              <w:rPr>
                <w:color w:val="000000" w:themeColor="text1"/>
                <w:sz w:val="16"/>
                <w:szCs w:val="16"/>
              </w:rPr>
              <w:t>756</w:t>
            </w:r>
          </w:p>
        </w:tc>
        <w:tc>
          <w:tcPr>
            <w:tcW w:w="1290" w:type="dxa"/>
            <w:tcBorders>
              <w:top w:val="single" w:sz="4" w:space="0" w:color="000000" w:themeColor="text1"/>
              <w:left w:val="nil"/>
              <w:bottom w:val="single" w:sz="4" w:space="0" w:color="000000" w:themeColor="text1"/>
            </w:tcBorders>
            <w:vAlign w:val="center"/>
          </w:tcPr>
          <w:p w14:paraId="74B7B836" w14:textId="77777777" w:rsidR="00400E01" w:rsidRPr="00B159D4" w:rsidRDefault="00400E01" w:rsidP="00400E01">
            <w:pPr>
              <w:pStyle w:val="NormalWeb"/>
              <w:spacing w:before="0" w:beforeAutospacing="0" w:after="0" w:afterAutospacing="0"/>
              <w:jc w:val="center"/>
              <w:rPr>
                <w:b/>
                <w:color w:val="000000" w:themeColor="text1"/>
                <w:sz w:val="16"/>
                <w:szCs w:val="16"/>
              </w:rPr>
            </w:pPr>
            <w:r w:rsidRPr="00B159D4">
              <w:rPr>
                <w:b/>
                <w:color w:val="000000" w:themeColor="text1"/>
                <w:sz w:val="16"/>
                <w:szCs w:val="16"/>
              </w:rPr>
              <w:t>2.11 (1.23, 3.54)</w:t>
            </w:r>
          </w:p>
        </w:tc>
      </w:tr>
      <w:tr w:rsidR="00400E01" w:rsidRPr="00B159D4" w14:paraId="7EDF078B" w14:textId="77777777" w:rsidTr="002A181C">
        <w:trPr>
          <w:trHeight w:val="432"/>
        </w:trPr>
        <w:tc>
          <w:tcPr>
            <w:tcW w:w="1506" w:type="dxa"/>
            <w:tcBorders>
              <w:top w:val="single" w:sz="4" w:space="0" w:color="000000" w:themeColor="text1"/>
              <w:bottom w:val="single" w:sz="4" w:space="0" w:color="000000" w:themeColor="text1"/>
              <w:right w:val="nil"/>
            </w:tcBorders>
            <w:vAlign w:val="center"/>
          </w:tcPr>
          <w:p w14:paraId="20B36FEB" w14:textId="77777777" w:rsidR="00400E01" w:rsidRPr="000F4B8D" w:rsidRDefault="00400E01" w:rsidP="00400E01">
            <w:pPr>
              <w:pStyle w:val="NormalWeb"/>
              <w:spacing w:before="0" w:beforeAutospacing="0" w:after="0" w:afterAutospacing="0"/>
              <w:rPr>
                <w:rFonts w:ascii="Times" w:hAnsi="Times" w:cs="Times"/>
                <w:color w:val="000000" w:themeColor="text1"/>
                <w:sz w:val="20"/>
                <w:szCs w:val="20"/>
              </w:rPr>
            </w:pPr>
            <w:r>
              <w:rPr>
                <w:rFonts w:ascii="Times" w:hAnsi="Times" w:cs="Times"/>
                <w:color w:val="000000" w:themeColor="text1"/>
                <w:sz w:val="20"/>
                <w:szCs w:val="20"/>
              </w:rPr>
              <w:t xml:space="preserve">NH </w:t>
            </w:r>
            <w:r w:rsidRPr="000F4B8D">
              <w:rPr>
                <w:rFonts w:ascii="Times" w:hAnsi="Times" w:cs="Times"/>
                <w:color w:val="000000" w:themeColor="text1"/>
                <w:sz w:val="20"/>
                <w:szCs w:val="20"/>
              </w:rPr>
              <w:t>Multiple Race</w:t>
            </w:r>
          </w:p>
        </w:tc>
        <w:tc>
          <w:tcPr>
            <w:tcW w:w="705" w:type="dxa"/>
            <w:tcBorders>
              <w:top w:val="single" w:sz="4" w:space="0" w:color="000000" w:themeColor="text1"/>
              <w:left w:val="nil"/>
              <w:bottom w:val="single" w:sz="4" w:space="0" w:color="000000" w:themeColor="text1"/>
              <w:right w:val="nil"/>
            </w:tcBorders>
            <w:vAlign w:val="center"/>
          </w:tcPr>
          <w:p w14:paraId="1ED95E98" w14:textId="276093D3" w:rsidR="00400E01" w:rsidRPr="000F4B8D" w:rsidRDefault="00400E01" w:rsidP="00400E01">
            <w:pPr>
              <w:pStyle w:val="NormalWeb"/>
              <w:spacing w:before="0" w:beforeAutospacing="0" w:after="0" w:afterAutospacing="0"/>
              <w:jc w:val="center"/>
              <w:rPr>
                <w:rFonts w:ascii="Times" w:hAnsi="Times" w:cs="Times"/>
                <w:color w:val="000000" w:themeColor="text1"/>
                <w:sz w:val="16"/>
                <w:szCs w:val="16"/>
              </w:rPr>
            </w:pPr>
            <w:r>
              <w:rPr>
                <w:rFonts w:ascii="Times" w:hAnsi="Times" w:cs="Times"/>
                <w:color w:val="000000" w:themeColor="text1"/>
                <w:sz w:val="16"/>
                <w:szCs w:val="16"/>
              </w:rPr>
              <w:t>293</w:t>
            </w:r>
          </w:p>
        </w:tc>
        <w:tc>
          <w:tcPr>
            <w:tcW w:w="1458" w:type="dxa"/>
            <w:tcBorders>
              <w:top w:val="single" w:sz="4" w:space="0" w:color="000000" w:themeColor="text1"/>
              <w:left w:val="nil"/>
              <w:bottom w:val="single" w:sz="4" w:space="0" w:color="000000" w:themeColor="text1"/>
              <w:right w:val="nil"/>
            </w:tcBorders>
            <w:vAlign w:val="center"/>
          </w:tcPr>
          <w:p w14:paraId="140EA6FE" w14:textId="77777777" w:rsidR="00400E01" w:rsidRPr="000F4B8D" w:rsidRDefault="00400E01" w:rsidP="00400E01">
            <w:pPr>
              <w:pStyle w:val="NormalWeb"/>
              <w:spacing w:before="0" w:beforeAutospacing="0" w:after="0" w:afterAutospacing="0"/>
              <w:jc w:val="center"/>
              <w:rPr>
                <w:rFonts w:ascii="Times" w:hAnsi="Times" w:cs="Times"/>
                <w:color w:val="000000" w:themeColor="text1"/>
                <w:sz w:val="16"/>
                <w:szCs w:val="16"/>
              </w:rPr>
            </w:pPr>
            <w:r w:rsidRPr="000F4B8D">
              <w:rPr>
                <w:rFonts w:ascii="Times" w:hAnsi="Times" w:cs="Times"/>
                <w:color w:val="000000" w:themeColor="text1"/>
                <w:sz w:val="16"/>
                <w:szCs w:val="16"/>
              </w:rPr>
              <w:t>1.02 (0.79, 1.30)</w:t>
            </w:r>
          </w:p>
        </w:tc>
        <w:tc>
          <w:tcPr>
            <w:tcW w:w="623" w:type="dxa"/>
            <w:tcBorders>
              <w:top w:val="single" w:sz="4" w:space="0" w:color="000000" w:themeColor="text1"/>
              <w:left w:val="nil"/>
              <w:bottom w:val="single" w:sz="4" w:space="0" w:color="000000" w:themeColor="text1"/>
              <w:right w:val="nil"/>
            </w:tcBorders>
            <w:vAlign w:val="center"/>
          </w:tcPr>
          <w:p w14:paraId="1129137A" w14:textId="1E3BBD77" w:rsidR="00400E01" w:rsidRPr="000F4B8D" w:rsidRDefault="00400E01" w:rsidP="00400E01">
            <w:pPr>
              <w:pStyle w:val="NormalWeb"/>
              <w:spacing w:before="0" w:beforeAutospacing="0" w:after="0" w:afterAutospacing="0"/>
              <w:jc w:val="center"/>
              <w:rPr>
                <w:rFonts w:ascii="Times" w:hAnsi="Times" w:cs="Times"/>
                <w:color w:val="000000" w:themeColor="text1"/>
                <w:sz w:val="16"/>
                <w:szCs w:val="16"/>
              </w:rPr>
            </w:pPr>
            <w:r>
              <w:rPr>
                <w:rFonts w:ascii="Times" w:hAnsi="Times" w:cs="Times"/>
                <w:color w:val="000000" w:themeColor="text1"/>
                <w:sz w:val="16"/>
                <w:szCs w:val="16"/>
              </w:rPr>
              <w:t>472</w:t>
            </w:r>
          </w:p>
        </w:tc>
        <w:tc>
          <w:tcPr>
            <w:tcW w:w="1373" w:type="dxa"/>
            <w:tcBorders>
              <w:top w:val="single" w:sz="4" w:space="0" w:color="000000" w:themeColor="text1"/>
              <w:left w:val="nil"/>
              <w:bottom w:val="single" w:sz="4" w:space="0" w:color="000000" w:themeColor="text1"/>
              <w:right w:val="nil"/>
            </w:tcBorders>
            <w:vAlign w:val="center"/>
          </w:tcPr>
          <w:p w14:paraId="6FDCE172" w14:textId="77777777" w:rsidR="00400E01" w:rsidRPr="000F4B8D" w:rsidRDefault="00400E01" w:rsidP="00400E01">
            <w:pPr>
              <w:pStyle w:val="NormalWeb"/>
              <w:spacing w:before="0" w:beforeAutospacing="0" w:after="0" w:afterAutospacing="0"/>
              <w:jc w:val="center"/>
              <w:rPr>
                <w:rFonts w:ascii="Times" w:hAnsi="Times" w:cs="Times"/>
                <w:color w:val="000000" w:themeColor="text1"/>
                <w:sz w:val="16"/>
                <w:szCs w:val="16"/>
              </w:rPr>
            </w:pPr>
            <w:r w:rsidRPr="000F4B8D">
              <w:rPr>
                <w:rFonts w:ascii="Times" w:hAnsi="Times" w:cs="Times"/>
                <w:color w:val="000000" w:themeColor="text1"/>
                <w:sz w:val="16"/>
                <w:szCs w:val="16"/>
              </w:rPr>
              <w:t>0.72 (0.34, 1.52)</w:t>
            </w:r>
          </w:p>
        </w:tc>
        <w:tc>
          <w:tcPr>
            <w:tcW w:w="764" w:type="dxa"/>
            <w:tcBorders>
              <w:top w:val="single" w:sz="4" w:space="0" w:color="000000" w:themeColor="text1"/>
              <w:left w:val="nil"/>
              <w:bottom w:val="single" w:sz="4" w:space="0" w:color="000000" w:themeColor="text1"/>
              <w:right w:val="nil"/>
            </w:tcBorders>
            <w:vAlign w:val="center"/>
          </w:tcPr>
          <w:p w14:paraId="07C1C01D" w14:textId="4681CD65" w:rsidR="00400E01" w:rsidRPr="000F4B8D" w:rsidRDefault="00400E01" w:rsidP="00400E01">
            <w:pPr>
              <w:pStyle w:val="NormalWeb"/>
              <w:spacing w:before="0" w:beforeAutospacing="0" w:after="0" w:afterAutospacing="0"/>
              <w:jc w:val="center"/>
              <w:rPr>
                <w:color w:val="000000" w:themeColor="text1"/>
                <w:sz w:val="16"/>
                <w:szCs w:val="16"/>
              </w:rPr>
            </w:pPr>
            <w:r>
              <w:rPr>
                <w:color w:val="000000" w:themeColor="text1"/>
                <w:sz w:val="16"/>
                <w:szCs w:val="16"/>
              </w:rPr>
              <w:t>708</w:t>
            </w:r>
          </w:p>
        </w:tc>
        <w:tc>
          <w:tcPr>
            <w:tcW w:w="1290" w:type="dxa"/>
            <w:tcBorders>
              <w:top w:val="single" w:sz="4" w:space="0" w:color="000000" w:themeColor="text1"/>
              <w:left w:val="nil"/>
              <w:bottom w:val="single" w:sz="4" w:space="0" w:color="000000" w:themeColor="text1"/>
              <w:right w:val="nil"/>
            </w:tcBorders>
            <w:vAlign w:val="center"/>
          </w:tcPr>
          <w:p w14:paraId="2EF3C904" w14:textId="77777777" w:rsidR="00400E01" w:rsidRPr="000F4B8D" w:rsidRDefault="00400E01" w:rsidP="00400E01">
            <w:pPr>
              <w:pStyle w:val="NormalWeb"/>
              <w:spacing w:before="0" w:beforeAutospacing="0" w:after="0" w:afterAutospacing="0"/>
              <w:jc w:val="center"/>
              <w:rPr>
                <w:color w:val="000000" w:themeColor="text1"/>
                <w:sz w:val="16"/>
                <w:szCs w:val="16"/>
              </w:rPr>
            </w:pPr>
            <w:r w:rsidRPr="000F4B8D">
              <w:rPr>
                <w:color w:val="000000" w:themeColor="text1"/>
                <w:sz w:val="16"/>
                <w:szCs w:val="16"/>
              </w:rPr>
              <w:t>1.18 (0.65, 2.16)</w:t>
            </w:r>
          </w:p>
        </w:tc>
        <w:tc>
          <w:tcPr>
            <w:tcW w:w="616" w:type="dxa"/>
            <w:tcBorders>
              <w:top w:val="single" w:sz="4" w:space="0" w:color="000000" w:themeColor="text1"/>
              <w:left w:val="nil"/>
              <w:bottom w:val="single" w:sz="4" w:space="0" w:color="000000" w:themeColor="text1"/>
              <w:right w:val="nil"/>
            </w:tcBorders>
            <w:vAlign w:val="center"/>
          </w:tcPr>
          <w:p w14:paraId="597365EF" w14:textId="7B9F304F" w:rsidR="00400E01" w:rsidRPr="000F4B8D" w:rsidRDefault="00400E01" w:rsidP="00400E01">
            <w:pPr>
              <w:pStyle w:val="NormalWeb"/>
              <w:spacing w:before="0" w:beforeAutospacing="0" w:after="0" w:afterAutospacing="0"/>
              <w:jc w:val="center"/>
              <w:rPr>
                <w:color w:val="000000" w:themeColor="text1"/>
                <w:sz w:val="16"/>
                <w:szCs w:val="16"/>
              </w:rPr>
            </w:pPr>
            <w:r>
              <w:rPr>
                <w:color w:val="000000" w:themeColor="text1"/>
                <w:sz w:val="16"/>
                <w:szCs w:val="16"/>
              </w:rPr>
              <w:t>708</w:t>
            </w:r>
          </w:p>
        </w:tc>
        <w:tc>
          <w:tcPr>
            <w:tcW w:w="1290" w:type="dxa"/>
            <w:tcBorders>
              <w:top w:val="single" w:sz="4" w:space="0" w:color="000000" w:themeColor="text1"/>
              <w:left w:val="nil"/>
              <w:bottom w:val="single" w:sz="4" w:space="0" w:color="000000" w:themeColor="text1"/>
            </w:tcBorders>
            <w:vAlign w:val="center"/>
          </w:tcPr>
          <w:p w14:paraId="3B1A669A" w14:textId="77777777" w:rsidR="00400E01" w:rsidRPr="00B159D4" w:rsidRDefault="00400E01" w:rsidP="00400E01">
            <w:pPr>
              <w:pStyle w:val="NormalWeb"/>
              <w:spacing w:before="0" w:beforeAutospacing="0" w:after="0" w:afterAutospacing="0"/>
              <w:jc w:val="center"/>
              <w:rPr>
                <w:b/>
                <w:color w:val="000000" w:themeColor="text1"/>
                <w:sz w:val="16"/>
                <w:szCs w:val="16"/>
              </w:rPr>
            </w:pPr>
            <w:r w:rsidRPr="00B159D4">
              <w:rPr>
                <w:b/>
                <w:color w:val="000000" w:themeColor="text1"/>
                <w:sz w:val="16"/>
                <w:szCs w:val="16"/>
              </w:rPr>
              <w:t>1.76 (1.01, 3.24)</w:t>
            </w:r>
          </w:p>
        </w:tc>
      </w:tr>
      <w:tr w:rsidR="00400E01" w:rsidRPr="000F4B8D" w14:paraId="1EDA9A42" w14:textId="77777777" w:rsidTr="002A181C">
        <w:trPr>
          <w:trHeight w:val="432"/>
        </w:trPr>
        <w:tc>
          <w:tcPr>
            <w:tcW w:w="1506" w:type="dxa"/>
            <w:tcBorders>
              <w:top w:val="single" w:sz="4" w:space="0" w:color="000000" w:themeColor="text1"/>
              <w:right w:val="nil"/>
            </w:tcBorders>
            <w:vAlign w:val="center"/>
          </w:tcPr>
          <w:p w14:paraId="4D316B63" w14:textId="77777777" w:rsidR="00400E01" w:rsidRPr="000F4B8D" w:rsidRDefault="00400E01" w:rsidP="00400E01">
            <w:pPr>
              <w:pStyle w:val="NormalWeb"/>
              <w:spacing w:before="0" w:beforeAutospacing="0" w:after="0" w:afterAutospacing="0"/>
              <w:rPr>
                <w:rFonts w:ascii="Times" w:hAnsi="Times" w:cs="Times"/>
                <w:color w:val="000000" w:themeColor="text1"/>
                <w:sz w:val="20"/>
                <w:szCs w:val="20"/>
              </w:rPr>
            </w:pPr>
            <w:r>
              <w:rPr>
                <w:rFonts w:ascii="Times" w:hAnsi="Times" w:cs="Times"/>
                <w:color w:val="000000" w:themeColor="text1"/>
                <w:sz w:val="20"/>
                <w:szCs w:val="20"/>
              </w:rPr>
              <w:t xml:space="preserve">NH </w:t>
            </w:r>
            <w:r w:rsidRPr="000F4B8D">
              <w:rPr>
                <w:rFonts w:ascii="Times" w:hAnsi="Times" w:cs="Times"/>
                <w:color w:val="000000" w:themeColor="text1"/>
                <w:sz w:val="20"/>
                <w:szCs w:val="20"/>
              </w:rPr>
              <w:t>Other</w:t>
            </w:r>
          </w:p>
        </w:tc>
        <w:tc>
          <w:tcPr>
            <w:tcW w:w="705" w:type="dxa"/>
            <w:tcBorders>
              <w:top w:val="single" w:sz="4" w:space="0" w:color="000000" w:themeColor="text1"/>
              <w:left w:val="nil"/>
              <w:right w:val="nil"/>
            </w:tcBorders>
            <w:vAlign w:val="center"/>
          </w:tcPr>
          <w:p w14:paraId="7BF19399" w14:textId="4261829C" w:rsidR="00400E01" w:rsidRPr="000F4B8D" w:rsidRDefault="00400E01" w:rsidP="00400E01">
            <w:pPr>
              <w:pStyle w:val="NormalWeb"/>
              <w:spacing w:before="0" w:beforeAutospacing="0" w:after="0" w:afterAutospacing="0"/>
              <w:jc w:val="center"/>
              <w:rPr>
                <w:rFonts w:ascii="Times" w:hAnsi="Times" w:cs="Times"/>
                <w:color w:val="000000" w:themeColor="text1"/>
                <w:sz w:val="16"/>
                <w:szCs w:val="16"/>
              </w:rPr>
            </w:pPr>
            <w:r>
              <w:rPr>
                <w:rFonts w:ascii="Times" w:hAnsi="Times" w:cs="Times"/>
                <w:color w:val="000000" w:themeColor="text1"/>
                <w:sz w:val="16"/>
                <w:szCs w:val="16"/>
              </w:rPr>
              <w:t>514</w:t>
            </w:r>
          </w:p>
        </w:tc>
        <w:tc>
          <w:tcPr>
            <w:tcW w:w="1458" w:type="dxa"/>
            <w:tcBorders>
              <w:top w:val="single" w:sz="4" w:space="0" w:color="000000" w:themeColor="text1"/>
              <w:left w:val="nil"/>
              <w:right w:val="nil"/>
            </w:tcBorders>
            <w:vAlign w:val="center"/>
          </w:tcPr>
          <w:p w14:paraId="7DB83E3A" w14:textId="77777777" w:rsidR="00400E01" w:rsidRPr="000F4B8D" w:rsidRDefault="00400E01" w:rsidP="00400E01">
            <w:pPr>
              <w:pStyle w:val="NormalWeb"/>
              <w:spacing w:before="0" w:beforeAutospacing="0" w:after="0" w:afterAutospacing="0"/>
              <w:jc w:val="center"/>
              <w:rPr>
                <w:rFonts w:ascii="Times" w:hAnsi="Times" w:cs="Times"/>
                <w:color w:val="000000" w:themeColor="text1"/>
                <w:sz w:val="16"/>
                <w:szCs w:val="16"/>
              </w:rPr>
            </w:pPr>
            <w:r w:rsidRPr="000F4B8D">
              <w:rPr>
                <w:rFonts w:ascii="Times" w:hAnsi="Times" w:cs="Times"/>
                <w:color w:val="000000" w:themeColor="text1"/>
                <w:sz w:val="16"/>
                <w:szCs w:val="16"/>
              </w:rPr>
              <w:t>0.99 (0.82, 1.19)</w:t>
            </w:r>
          </w:p>
        </w:tc>
        <w:tc>
          <w:tcPr>
            <w:tcW w:w="623" w:type="dxa"/>
            <w:tcBorders>
              <w:top w:val="single" w:sz="4" w:space="0" w:color="000000" w:themeColor="text1"/>
              <w:left w:val="nil"/>
              <w:right w:val="nil"/>
            </w:tcBorders>
            <w:vAlign w:val="center"/>
          </w:tcPr>
          <w:p w14:paraId="20383BC5" w14:textId="231D7B48" w:rsidR="00400E01" w:rsidRPr="000F4B8D" w:rsidRDefault="00400E01" w:rsidP="00400E01">
            <w:pPr>
              <w:pStyle w:val="NormalWeb"/>
              <w:spacing w:before="0" w:beforeAutospacing="0" w:after="0" w:afterAutospacing="0"/>
              <w:jc w:val="center"/>
              <w:rPr>
                <w:rFonts w:ascii="Times" w:hAnsi="Times" w:cs="Times"/>
                <w:color w:val="000000" w:themeColor="text1"/>
                <w:sz w:val="16"/>
                <w:szCs w:val="16"/>
              </w:rPr>
            </w:pPr>
            <w:r>
              <w:rPr>
                <w:rFonts w:ascii="Times" w:hAnsi="Times" w:cs="Times"/>
                <w:color w:val="000000" w:themeColor="text1"/>
                <w:sz w:val="16"/>
                <w:szCs w:val="16"/>
              </w:rPr>
              <w:t>1015</w:t>
            </w:r>
          </w:p>
        </w:tc>
        <w:tc>
          <w:tcPr>
            <w:tcW w:w="1373" w:type="dxa"/>
            <w:tcBorders>
              <w:top w:val="single" w:sz="4" w:space="0" w:color="000000" w:themeColor="text1"/>
              <w:left w:val="nil"/>
              <w:right w:val="nil"/>
            </w:tcBorders>
            <w:vAlign w:val="center"/>
          </w:tcPr>
          <w:p w14:paraId="2859C26B" w14:textId="77777777" w:rsidR="00400E01" w:rsidRPr="00B159D4" w:rsidRDefault="00400E01" w:rsidP="00400E01">
            <w:pPr>
              <w:pStyle w:val="NormalWeb"/>
              <w:spacing w:before="0" w:beforeAutospacing="0" w:after="0" w:afterAutospacing="0"/>
              <w:jc w:val="center"/>
              <w:rPr>
                <w:rFonts w:ascii="Times" w:hAnsi="Times" w:cs="Times"/>
                <w:b/>
                <w:color w:val="000000" w:themeColor="text1"/>
                <w:sz w:val="16"/>
                <w:szCs w:val="16"/>
              </w:rPr>
            </w:pPr>
            <w:r w:rsidRPr="00B159D4">
              <w:rPr>
                <w:rFonts w:ascii="Times" w:hAnsi="Times" w:cs="Times"/>
                <w:b/>
                <w:color w:val="000000" w:themeColor="text1"/>
                <w:sz w:val="16"/>
                <w:szCs w:val="16"/>
              </w:rPr>
              <w:t>1.72 (1.21, 2.46)</w:t>
            </w:r>
          </w:p>
        </w:tc>
        <w:tc>
          <w:tcPr>
            <w:tcW w:w="764" w:type="dxa"/>
            <w:tcBorders>
              <w:top w:val="single" w:sz="4" w:space="0" w:color="000000" w:themeColor="text1"/>
              <w:left w:val="nil"/>
              <w:right w:val="nil"/>
            </w:tcBorders>
            <w:vAlign w:val="center"/>
          </w:tcPr>
          <w:p w14:paraId="16845226" w14:textId="28DA84C8" w:rsidR="00400E01" w:rsidRPr="000F4B8D" w:rsidRDefault="00400E01" w:rsidP="00400E01">
            <w:pPr>
              <w:pStyle w:val="NormalWeb"/>
              <w:spacing w:before="0" w:beforeAutospacing="0" w:after="0" w:afterAutospacing="0"/>
              <w:jc w:val="center"/>
              <w:rPr>
                <w:color w:val="000000" w:themeColor="text1"/>
                <w:sz w:val="16"/>
                <w:szCs w:val="16"/>
              </w:rPr>
            </w:pPr>
            <w:r>
              <w:rPr>
                <w:color w:val="000000" w:themeColor="text1"/>
                <w:sz w:val="16"/>
                <w:szCs w:val="16"/>
              </w:rPr>
              <w:t>1490</w:t>
            </w:r>
          </w:p>
        </w:tc>
        <w:tc>
          <w:tcPr>
            <w:tcW w:w="1290" w:type="dxa"/>
            <w:tcBorders>
              <w:top w:val="single" w:sz="4" w:space="0" w:color="000000" w:themeColor="text1"/>
              <w:left w:val="nil"/>
              <w:right w:val="nil"/>
            </w:tcBorders>
            <w:vAlign w:val="center"/>
          </w:tcPr>
          <w:p w14:paraId="6D503606" w14:textId="77777777" w:rsidR="00400E01" w:rsidRPr="000F4B8D" w:rsidRDefault="00400E01" w:rsidP="00400E01">
            <w:pPr>
              <w:pStyle w:val="NormalWeb"/>
              <w:spacing w:before="0" w:beforeAutospacing="0" w:after="0" w:afterAutospacing="0"/>
              <w:jc w:val="center"/>
              <w:rPr>
                <w:color w:val="000000" w:themeColor="text1"/>
                <w:sz w:val="16"/>
                <w:szCs w:val="16"/>
              </w:rPr>
            </w:pPr>
            <w:r w:rsidRPr="000F4B8D">
              <w:rPr>
                <w:color w:val="000000" w:themeColor="text1"/>
                <w:sz w:val="16"/>
                <w:szCs w:val="16"/>
              </w:rPr>
              <w:t>0.80 (0.49, 1.33)</w:t>
            </w:r>
          </w:p>
        </w:tc>
        <w:tc>
          <w:tcPr>
            <w:tcW w:w="616" w:type="dxa"/>
            <w:tcBorders>
              <w:top w:val="single" w:sz="4" w:space="0" w:color="000000" w:themeColor="text1"/>
              <w:left w:val="nil"/>
              <w:right w:val="nil"/>
            </w:tcBorders>
            <w:vAlign w:val="center"/>
          </w:tcPr>
          <w:p w14:paraId="39356331" w14:textId="090FA18C" w:rsidR="00400E01" w:rsidRPr="000F4B8D" w:rsidRDefault="00400E01" w:rsidP="00400E01">
            <w:pPr>
              <w:pStyle w:val="NormalWeb"/>
              <w:spacing w:before="0" w:beforeAutospacing="0" w:after="0" w:afterAutospacing="0"/>
              <w:jc w:val="center"/>
              <w:rPr>
                <w:color w:val="000000" w:themeColor="text1"/>
                <w:sz w:val="16"/>
                <w:szCs w:val="16"/>
              </w:rPr>
            </w:pPr>
            <w:r>
              <w:rPr>
                <w:color w:val="000000" w:themeColor="text1"/>
                <w:sz w:val="16"/>
                <w:szCs w:val="16"/>
              </w:rPr>
              <w:t>1490</w:t>
            </w:r>
          </w:p>
        </w:tc>
        <w:tc>
          <w:tcPr>
            <w:tcW w:w="1290" w:type="dxa"/>
            <w:tcBorders>
              <w:top w:val="single" w:sz="4" w:space="0" w:color="000000" w:themeColor="text1"/>
              <w:left w:val="nil"/>
            </w:tcBorders>
            <w:vAlign w:val="center"/>
          </w:tcPr>
          <w:p w14:paraId="502B0E90" w14:textId="77777777" w:rsidR="00400E01" w:rsidRPr="000F4B8D" w:rsidRDefault="00400E01" w:rsidP="00400E01">
            <w:pPr>
              <w:pStyle w:val="NormalWeb"/>
              <w:spacing w:before="0" w:beforeAutospacing="0" w:after="0" w:afterAutospacing="0"/>
              <w:jc w:val="center"/>
              <w:rPr>
                <w:color w:val="000000" w:themeColor="text1"/>
                <w:sz w:val="16"/>
                <w:szCs w:val="16"/>
              </w:rPr>
            </w:pPr>
            <w:r w:rsidRPr="000F4B8D">
              <w:rPr>
                <w:color w:val="000000" w:themeColor="text1"/>
                <w:sz w:val="16"/>
                <w:szCs w:val="16"/>
              </w:rPr>
              <w:t>0.78 (0.43, 1.45)</w:t>
            </w:r>
          </w:p>
        </w:tc>
      </w:tr>
    </w:tbl>
    <w:p w14:paraId="3B6FD707" w14:textId="2E5801EC" w:rsidR="00E26CD2" w:rsidRDefault="00E26CD2" w:rsidP="00D42384">
      <w:pPr>
        <w:pStyle w:val="NormalWeb"/>
        <w:spacing w:before="0" w:beforeAutospacing="0" w:after="0" w:afterAutospacing="0"/>
        <w:rPr>
          <w:rFonts w:ascii="Times" w:hAnsi="Times" w:cs="Times"/>
          <w:sz w:val="20"/>
          <w:szCs w:val="20"/>
        </w:rPr>
      </w:pPr>
      <w:r>
        <w:rPr>
          <w:rFonts w:ascii="Times" w:hAnsi="Times" w:cs="Times"/>
          <w:sz w:val="20"/>
          <w:szCs w:val="20"/>
        </w:rPr>
        <w:t>NH: Non-Hispanic/Latinx.</w:t>
      </w:r>
    </w:p>
    <w:p w14:paraId="794C2DF8" w14:textId="2B12275D" w:rsidR="00E26CD2" w:rsidRDefault="00E26CD2" w:rsidP="00E26CD2">
      <w:pPr>
        <w:pStyle w:val="NormalWeb"/>
        <w:spacing w:before="0" w:beforeAutospacing="0" w:after="0" w:afterAutospacing="0"/>
        <w:rPr>
          <w:rFonts w:ascii="Times" w:hAnsi="Times" w:cs="Times"/>
          <w:sz w:val="20"/>
          <w:szCs w:val="20"/>
        </w:rPr>
      </w:pPr>
      <w:r>
        <w:rPr>
          <w:rFonts w:ascii="Times" w:hAnsi="Times" w:cs="Times"/>
          <w:sz w:val="20"/>
          <w:szCs w:val="20"/>
        </w:rPr>
        <w:t>NTSV: Nulliparous, term, singleton, vertex births.</w:t>
      </w:r>
    </w:p>
    <w:p w14:paraId="342EB5A6" w14:textId="683B0803" w:rsidR="003F005D" w:rsidRDefault="00D42384" w:rsidP="00D42384">
      <w:pPr>
        <w:pStyle w:val="NormalWeb"/>
        <w:spacing w:before="0" w:beforeAutospacing="0" w:after="0" w:afterAutospacing="0"/>
        <w:rPr>
          <w:rFonts w:ascii="Times" w:hAnsi="Times" w:cs="Times"/>
          <w:sz w:val="20"/>
          <w:szCs w:val="20"/>
        </w:rPr>
      </w:pPr>
      <w:r w:rsidRPr="00D42384">
        <w:rPr>
          <w:rFonts w:ascii="Times" w:hAnsi="Times" w:cs="Times"/>
          <w:sz w:val="20"/>
          <w:szCs w:val="20"/>
        </w:rPr>
        <w:t xml:space="preserve">*Adjusted for age, BMI, </w:t>
      </w:r>
      <w:r w:rsidR="00937EE4">
        <w:rPr>
          <w:rFonts w:ascii="Times" w:hAnsi="Times" w:cs="Times"/>
          <w:sz w:val="20"/>
          <w:szCs w:val="20"/>
        </w:rPr>
        <w:t xml:space="preserve">neonatal </w:t>
      </w:r>
      <w:r w:rsidRPr="00D42384">
        <w:rPr>
          <w:rFonts w:ascii="Times" w:hAnsi="Times" w:cs="Times"/>
          <w:sz w:val="20"/>
          <w:szCs w:val="20"/>
        </w:rPr>
        <w:t>level of care, pre-</w:t>
      </w:r>
      <w:r w:rsidR="008D0F90" w:rsidRPr="00D42384">
        <w:rPr>
          <w:rFonts w:ascii="Times" w:hAnsi="Times" w:cs="Times"/>
          <w:sz w:val="20"/>
          <w:szCs w:val="20"/>
        </w:rPr>
        <w:t>pregnancy</w:t>
      </w:r>
      <w:r w:rsidRPr="00D42384">
        <w:rPr>
          <w:rFonts w:ascii="Times" w:hAnsi="Times" w:cs="Times"/>
          <w:sz w:val="20"/>
          <w:szCs w:val="20"/>
        </w:rPr>
        <w:t xml:space="preserve"> diabetes, gestational diabetes, commercial health insurance</w:t>
      </w:r>
      <w:r>
        <w:rPr>
          <w:rFonts w:ascii="Times" w:hAnsi="Times" w:cs="Times"/>
          <w:sz w:val="20"/>
          <w:szCs w:val="20"/>
        </w:rPr>
        <w:t>, and maternal smoking and clustered by hospital.</w:t>
      </w:r>
    </w:p>
    <w:p w14:paraId="1AEE5C53" w14:textId="5AD376BF" w:rsidR="00937EE4" w:rsidRDefault="000F4B8D" w:rsidP="00D42384">
      <w:pPr>
        <w:pStyle w:val="NormalWeb"/>
        <w:spacing w:before="0" w:beforeAutospacing="0" w:after="0" w:afterAutospacing="0"/>
        <w:rPr>
          <w:rFonts w:ascii="Times" w:hAnsi="Times" w:cs="Times"/>
          <w:sz w:val="20"/>
          <w:szCs w:val="20"/>
        </w:rPr>
      </w:pPr>
      <w:r>
        <w:rPr>
          <w:rFonts w:ascii="Times" w:hAnsi="Times" w:cs="Times"/>
          <w:sz w:val="20"/>
          <w:szCs w:val="20"/>
        </w:rPr>
        <w:sym w:font="Symbol" w:char="F0E0"/>
      </w:r>
      <w:r>
        <w:rPr>
          <w:rFonts w:ascii="Times" w:hAnsi="Times" w:cs="Times"/>
          <w:sz w:val="20"/>
          <w:szCs w:val="20"/>
        </w:rPr>
        <w:t xml:space="preserve"> </w:t>
      </w:r>
      <w:r w:rsidR="00937EE4" w:rsidRPr="00D42384">
        <w:rPr>
          <w:rFonts w:ascii="Times" w:hAnsi="Times" w:cs="Times"/>
          <w:sz w:val="20"/>
          <w:szCs w:val="20"/>
        </w:rPr>
        <w:t xml:space="preserve">Adjusted for age, BMI, </w:t>
      </w:r>
      <w:r w:rsidR="00937EE4">
        <w:rPr>
          <w:rFonts w:ascii="Times" w:hAnsi="Times" w:cs="Times"/>
          <w:sz w:val="20"/>
          <w:szCs w:val="20"/>
        </w:rPr>
        <w:t xml:space="preserve">neonatal </w:t>
      </w:r>
      <w:r w:rsidR="00937EE4" w:rsidRPr="00D42384">
        <w:rPr>
          <w:rFonts w:ascii="Times" w:hAnsi="Times" w:cs="Times"/>
          <w:sz w:val="20"/>
          <w:szCs w:val="20"/>
        </w:rPr>
        <w:t>level of care, pre-</w:t>
      </w:r>
      <w:r w:rsidR="008D0F90" w:rsidRPr="00D42384">
        <w:rPr>
          <w:rFonts w:ascii="Times" w:hAnsi="Times" w:cs="Times"/>
          <w:sz w:val="20"/>
          <w:szCs w:val="20"/>
        </w:rPr>
        <w:t>pregnancy</w:t>
      </w:r>
      <w:r w:rsidR="00937EE4" w:rsidRPr="00D42384">
        <w:rPr>
          <w:rFonts w:ascii="Times" w:hAnsi="Times" w:cs="Times"/>
          <w:sz w:val="20"/>
          <w:szCs w:val="20"/>
        </w:rPr>
        <w:t xml:space="preserve"> diabetes, commercial health insurance</w:t>
      </w:r>
      <w:r w:rsidR="00937EE4">
        <w:rPr>
          <w:rFonts w:ascii="Times" w:hAnsi="Times" w:cs="Times"/>
          <w:sz w:val="20"/>
          <w:szCs w:val="20"/>
        </w:rPr>
        <w:t>, maternal smoking, and clustered by hospital.</w:t>
      </w:r>
    </w:p>
    <w:p w14:paraId="54FEAB86" w14:textId="4171268E" w:rsidR="000F4B8D" w:rsidRPr="00D42384" w:rsidRDefault="002300AE" w:rsidP="002300AE">
      <w:pPr>
        <w:pStyle w:val="NormalWeb"/>
        <w:spacing w:before="0" w:beforeAutospacing="0" w:after="0" w:afterAutospacing="0"/>
        <w:rPr>
          <w:rFonts w:ascii="Times" w:hAnsi="Times" w:cs="Times"/>
          <w:sz w:val="20"/>
          <w:szCs w:val="20"/>
        </w:rPr>
      </w:pPr>
      <w:r>
        <w:rPr>
          <w:rFonts w:ascii="Times" w:hAnsi="Times" w:cs="Times"/>
          <w:sz w:val="18"/>
          <w:szCs w:val="18"/>
        </w:rPr>
        <w:sym w:font="Symbol" w:char="F0B0"/>
      </w:r>
      <w:r>
        <w:rPr>
          <w:rFonts w:ascii="Times" w:hAnsi="Times" w:cs="Times"/>
          <w:sz w:val="18"/>
          <w:szCs w:val="18"/>
        </w:rPr>
        <w:t xml:space="preserve"> </w:t>
      </w:r>
      <w:r w:rsidR="00E26CD2" w:rsidRPr="00D42384">
        <w:rPr>
          <w:rFonts w:ascii="Times" w:hAnsi="Times" w:cs="Times"/>
          <w:sz w:val="20"/>
          <w:szCs w:val="20"/>
        </w:rPr>
        <w:t xml:space="preserve">Adjusted for </w:t>
      </w:r>
      <w:r w:rsidRPr="00D42384">
        <w:rPr>
          <w:rFonts w:ascii="Times" w:hAnsi="Times" w:cs="Times"/>
          <w:sz w:val="20"/>
          <w:szCs w:val="20"/>
        </w:rPr>
        <w:t>age, BMI</w:t>
      </w:r>
      <w:r w:rsidR="00CD598F" w:rsidRPr="00CD598F">
        <w:rPr>
          <w:rFonts w:ascii="Times" w:hAnsi="Times" w:cs="Times"/>
          <w:sz w:val="20"/>
          <w:szCs w:val="20"/>
        </w:rPr>
        <w:t xml:space="preserve"> </w:t>
      </w:r>
      <w:r w:rsidR="00CD598F">
        <w:rPr>
          <w:rFonts w:ascii="Times" w:hAnsi="Times" w:cs="Times"/>
          <w:sz w:val="20"/>
          <w:szCs w:val="20"/>
        </w:rPr>
        <w:t>at admission for delivery</w:t>
      </w:r>
      <w:r w:rsidRPr="00D42384">
        <w:rPr>
          <w:rFonts w:ascii="Times" w:hAnsi="Times" w:cs="Times"/>
          <w:sz w:val="20"/>
          <w:szCs w:val="20"/>
        </w:rPr>
        <w:t xml:space="preserve">, </w:t>
      </w:r>
      <w:r>
        <w:rPr>
          <w:rFonts w:ascii="Times" w:hAnsi="Times" w:cs="Times"/>
          <w:sz w:val="20"/>
          <w:szCs w:val="20"/>
        </w:rPr>
        <w:t xml:space="preserve">neonatal </w:t>
      </w:r>
      <w:r w:rsidRPr="00D42384">
        <w:rPr>
          <w:rFonts w:ascii="Times" w:hAnsi="Times" w:cs="Times"/>
          <w:sz w:val="20"/>
          <w:szCs w:val="20"/>
        </w:rPr>
        <w:t>level of care, pre-</w:t>
      </w:r>
      <w:r w:rsidR="008D0F90" w:rsidRPr="00D42384">
        <w:rPr>
          <w:rFonts w:ascii="Times" w:hAnsi="Times" w:cs="Times"/>
          <w:sz w:val="20"/>
          <w:szCs w:val="20"/>
        </w:rPr>
        <w:t>pregnancy</w:t>
      </w:r>
      <w:r w:rsidRPr="00D42384">
        <w:rPr>
          <w:rFonts w:ascii="Times" w:hAnsi="Times" w:cs="Times"/>
          <w:sz w:val="20"/>
          <w:szCs w:val="20"/>
        </w:rPr>
        <w:t xml:space="preserve"> diabetes, </w:t>
      </w:r>
      <w:r w:rsidR="000F4B8D">
        <w:rPr>
          <w:rFonts w:ascii="Times" w:hAnsi="Times" w:cs="Times"/>
          <w:sz w:val="20"/>
          <w:szCs w:val="20"/>
        </w:rPr>
        <w:t xml:space="preserve">gestational diabetes, </w:t>
      </w:r>
      <w:r w:rsidRPr="00D42384">
        <w:rPr>
          <w:rFonts w:ascii="Times" w:hAnsi="Times" w:cs="Times"/>
          <w:sz w:val="20"/>
          <w:szCs w:val="20"/>
        </w:rPr>
        <w:t>commercial health insurance</w:t>
      </w:r>
      <w:r>
        <w:rPr>
          <w:rFonts w:ascii="Times" w:hAnsi="Times" w:cs="Times"/>
          <w:sz w:val="20"/>
          <w:szCs w:val="20"/>
        </w:rPr>
        <w:t>,</w:t>
      </w:r>
      <w:r w:rsidR="00CD598F">
        <w:rPr>
          <w:rFonts w:ascii="Times" w:hAnsi="Times" w:cs="Times"/>
          <w:sz w:val="20"/>
          <w:szCs w:val="20"/>
        </w:rPr>
        <w:t xml:space="preserve"> and</w:t>
      </w:r>
      <w:r>
        <w:rPr>
          <w:rFonts w:ascii="Times" w:hAnsi="Times" w:cs="Times"/>
          <w:sz w:val="20"/>
          <w:szCs w:val="20"/>
        </w:rPr>
        <w:t xml:space="preserve"> maternal </w:t>
      </w:r>
      <w:r w:rsidR="00CD598F">
        <w:rPr>
          <w:rFonts w:ascii="Times" w:hAnsi="Times" w:cs="Times"/>
          <w:sz w:val="20"/>
          <w:szCs w:val="20"/>
        </w:rPr>
        <w:t>smoking</w:t>
      </w:r>
    </w:p>
    <w:p w14:paraId="45D20928" w14:textId="47F27E36" w:rsidR="002300AE" w:rsidRDefault="002300AE" w:rsidP="00D42384">
      <w:pPr>
        <w:pStyle w:val="NormalWeb"/>
        <w:spacing w:before="0" w:beforeAutospacing="0" w:after="0" w:afterAutospacing="0"/>
        <w:rPr>
          <w:rFonts w:ascii="Times" w:hAnsi="Times" w:cs="Times"/>
          <w:sz w:val="20"/>
          <w:szCs w:val="20"/>
        </w:rPr>
      </w:pPr>
    </w:p>
    <w:p w14:paraId="3CE0BA9B" w14:textId="14638FBF" w:rsidR="001C1FF2" w:rsidRDefault="001C1FF2" w:rsidP="00D42384">
      <w:pPr>
        <w:pStyle w:val="NormalWeb"/>
        <w:spacing w:before="0" w:beforeAutospacing="0" w:after="0" w:afterAutospacing="0"/>
        <w:rPr>
          <w:rFonts w:ascii="Times" w:hAnsi="Times" w:cs="Times"/>
          <w:sz w:val="20"/>
          <w:szCs w:val="20"/>
        </w:rPr>
      </w:pPr>
    </w:p>
    <w:p w14:paraId="4A8E5825" w14:textId="51D86167" w:rsidR="001C1FF2" w:rsidRDefault="001C1FF2" w:rsidP="00D42384">
      <w:pPr>
        <w:pStyle w:val="NormalWeb"/>
        <w:spacing w:before="0" w:beforeAutospacing="0" w:after="0" w:afterAutospacing="0"/>
        <w:rPr>
          <w:rFonts w:ascii="Times" w:hAnsi="Times" w:cs="Times"/>
          <w:sz w:val="20"/>
          <w:szCs w:val="20"/>
        </w:rPr>
      </w:pPr>
    </w:p>
    <w:p w14:paraId="751D7DB6" w14:textId="076CB265" w:rsidR="001C1FF2" w:rsidRDefault="001C1FF2" w:rsidP="00D42384">
      <w:pPr>
        <w:pStyle w:val="NormalWeb"/>
        <w:spacing w:before="0" w:beforeAutospacing="0" w:after="0" w:afterAutospacing="0"/>
        <w:rPr>
          <w:rFonts w:ascii="Times" w:hAnsi="Times" w:cs="Times"/>
          <w:sz w:val="20"/>
          <w:szCs w:val="20"/>
        </w:rPr>
      </w:pPr>
    </w:p>
    <w:p w14:paraId="70048928" w14:textId="790EB3C5" w:rsidR="001C1FF2" w:rsidRDefault="001C1FF2" w:rsidP="00D42384">
      <w:pPr>
        <w:pStyle w:val="NormalWeb"/>
        <w:spacing w:before="0" w:beforeAutospacing="0" w:after="0" w:afterAutospacing="0"/>
        <w:rPr>
          <w:rFonts w:ascii="Times" w:hAnsi="Times" w:cs="Times"/>
          <w:sz w:val="20"/>
          <w:szCs w:val="20"/>
        </w:rPr>
      </w:pPr>
    </w:p>
    <w:p w14:paraId="441390AA" w14:textId="3DA1AC97" w:rsidR="001C1FF2" w:rsidRDefault="001C1FF2" w:rsidP="00D42384">
      <w:pPr>
        <w:pStyle w:val="NormalWeb"/>
        <w:spacing w:before="0" w:beforeAutospacing="0" w:after="0" w:afterAutospacing="0"/>
        <w:rPr>
          <w:rFonts w:ascii="Times" w:hAnsi="Times" w:cs="Times"/>
          <w:sz w:val="20"/>
          <w:szCs w:val="20"/>
        </w:rPr>
      </w:pPr>
    </w:p>
    <w:p w14:paraId="7E66E6BB" w14:textId="4CAE97E2" w:rsidR="001C1FF2" w:rsidRDefault="001C1FF2" w:rsidP="00D42384">
      <w:pPr>
        <w:pStyle w:val="NormalWeb"/>
        <w:spacing w:before="0" w:beforeAutospacing="0" w:after="0" w:afterAutospacing="0"/>
        <w:rPr>
          <w:rFonts w:ascii="Times" w:hAnsi="Times" w:cs="Times"/>
          <w:sz w:val="20"/>
          <w:szCs w:val="20"/>
        </w:rPr>
      </w:pPr>
    </w:p>
    <w:p w14:paraId="61058DFE" w14:textId="2D2541C2" w:rsidR="001C1FF2" w:rsidRDefault="001C1FF2" w:rsidP="00D42384">
      <w:pPr>
        <w:pStyle w:val="NormalWeb"/>
        <w:spacing w:before="0" w:beforeAutospacing="0" w:after="0" w:afterAutospacing="0"/>
        <w:rPr>
          <w:rFonts w:ascii="Times" w:hAnsi="Times" w:cs="Times"/>
          <w:sz w:val="20"/>
          <w:szCs w:val="20"/>
        </w:rPr>
      </w:pPr>
    </w:p>
    <w:p w14:paraId="09588C51" w14:textId="250BB4ED" w:rsidR="001C1FF2" w:rsidRDefault="001C1FF2" w:rsidP="00D42384">
      <w:pPr>
        <w:pStyle w:val="NormalWeb"/>
        <w:spacing w:before="0" w:beforeAutospacing="0" w:after="0" w:afterAutospacing="0"/>
        <w:rPr>
          <w:rFonts w:ascii="Times" w:hAnsi="Times" w:cs="Times"/>
          <w:sz w:val="20"/>
          <w:szCs w:val="20"/>
        </w:rPr>
      </w:pPr>
    </w:p>
    <w:p w14:paraId="3A416CCD" w14:textId="01DE3A36" w:rsidR="00E26CD2" w:rsidRDefault="00E26CD2" w:rsidP="00057779">
      <w:pPr>
        <w:pStyle w:val="NormalWeb"/>
        <w:spacing w:before="0" w:beforeAutospacing="0" w:after="0" w:afterAutospacing="0"/>
        <w:rPr>
          <w:rFonts w:ascii="Times" w:hAnsi="Times" w:cs="Times"/>
          <w:b/>
          <w:bCs/>
          <w:sz w:val="22"/>
          <w:szCs w:val="22"/>
        </w:rPr>
        <w:sectPr w:rsidR="00E26CD2" w:rsidSect="00E26CD2">
          <w:pgSz w:w="15840" w:h="12240" w:orient="landscape"/>
          <w:pgMar w:top="1440" w:right="1440" w:bottom="1440" w:left="1440" w:header="576" w:footer="720" w:gutter="0"/>
          <w:cols w:space="720"/>
          <w:docGrid w:linePitch="360"/>
        </w:sectPr>
      </w:pPr>
    </w:p>
    <w:p w14:paraId="21A4581B" w14:textId="4E31EB71" w:rsidR="00DE360D" w:rsidRPr="00075F1B" w:rsidRDefault="00DE360D" w:rsidP="00057779">
      <w:pPr>
        <w:pStyle w:val="NormalWeb"/>
        <w:spacing w:before="0" w:beforeAutospacing="0" w:after="0" w:afterAutospacing="0"/>
        <w:rPr>
          <w:rFonts w:ascii="Times" w:hAnsi="Times" w:cs="Times"/>
          <w:b/>
          <w:bCs/>
          <w:sz w:val="22"/>
          <w:szCs w:val="22"/>
        </w:rPr>
      </w:pPr>
      <w:r w:rsidRPr="00075F1B">
        <w:rPr>
          <w:rFonts w:ascii="Times" w:hAnsi="Times" w:cs="Times"/>
          <w:b/>
          <w:bCs/>
          <w:sz w:val="22"/>
          <w:szCs w:val="22"/>
        </w:rPr>
        <w:t xml:space="preserve">Table 3: </w:t>
      </w:r>
      <w:r w:rsidR="00840EC7">
        <w:rPr>
          <w:rFonts w:ascii="Times" w:hAnsi="Times" w:cs="Times"/>
          <w:b/>
          <w:bCs/>
          <w:sz w:val="22"/>
          <w:szCs w:val="22"/>
        </w:rPr>
        <w:t xml:space="preserve">Associations of Race/Ethnicity with </w:t>
      </w:r>
      <w:r w:rsidR="00E26CD2">
        <w:rPr>
          <w:rFonts w:ascii="Times" w:hAnsi="Times" w:cs="Times"/>
          <w:b/>
          <w:bCs/>
          <w:sz w:val="22"/>
          <w:szCs w:val="22"/>
        </w:rPr>
        <w:t xml:space="preserve">Obstetric </w:t>
      </w:r>
      <w:r w:rsidR="00840EC7">
        <w:rPr>
          <w:rFonts w:ascii="Times" w:hAnsi="Times" w:cs="Times"/>
          <w:b/>
          <w:bCs/>
          <w:sz w:val="22"/>
          <w:szCs w:val="22"/>
        </w:rPr>
        <w:t>Process</w:t>
      </w:r>
      <w:r w:rsidR="00840EC7" w:rsidRPr="00FC1537">
        <w:rPr>
          <w:rFonts w:ascii="Times" w:hAnsi="Times" w:cs="Times"/>
          <w:b/>
          <w:bCs/>
          <w:sz w:val="22"/>
          <w:szCs w:val="22"/>
        </w:rPr>
        <w:t xml:space="preserve"> Me</w:t>
      </w:r>
      <w:r w:rsidR="00840EC7" w:rsidRPr="000F4B8D">
        <w:rPr>
          <w:rFonts w:ascii="Times" w:hAnsi="Times" w:cs="Times"/>
          <w:b/>
          <w:bCs/>
          <w:color w:val="000000" w:themeColor="text1"/>
          <w:sz w:val="22"/>
          <w:szCs w:val="22"/>
        </w:rPr>
        <w:t>asures</w:t>
      </w:r>
    </w:p>
    <w:tbl>
      <w:tblPr>
        <w:tblW w:w="11335" w:type="dxa"/>
        <w:tblLook w:val="04A0" w:firstRow="1" w:lastRow="0" w:firstColumn="1" w:lastColumn="0" w:noHBand="0" w:noVBand="1"/>
      </w:tblPr>
      <w:tblGrid>
        <w:gridCol w:w="1289"/>
        <w:gridCol w:w="696"/>
        <w:gridCol w:w="1250"/>
        <w:gridCol w:w="603"/>
        <w:gridCol w:w="1287"/>
        <w:gridCol w:w="604"/>
        <w:gridCol w:w="1276"/>
        <w:gridCol w:w="591"/>
        <w:gridCol w:w="1495"/>
        <w:gridCol w:w="516"/>
        <w:gridCol w:w="1728"/>
      </w:tblGrid>
      <w:tr w:rsidR="00D33661" w:rsidRPr="00D33661" w14:paraId="5F611B0D" w14:textId="77777777" w:rsidTr="00D33661">
        <w:trPr>
          <w:trHeight w:val="480"/>
        </w:trPr>
        <w:tc>
          <w:tcPr>
            <w:tcW w:w="1289" w:type="dxa"/>
            <w:tcBorders>
              <w:top w:val="single" w:sz="4" w:space="0" w:color="auto"/>
              <w:left w:val="single" w:sz="4" w:space="0" w:color="auto"/>
              <w:bottom w:val="single" w:sz="4" w:space="0" w:color="auto"/>
              <w:right w:val="nil"/>
            </w:tcBorders>
            <w:shd w:val="clear" w:color="auto" w:fill="auto"/>
            <w:vAlign w:val="center"/>
            <w:hideMark/>
          </w:tcPr>
          <w:p w14:paraId="40234E5E" w14:textId="77777777" w:rsidR="00D33661" w:rsidRPr="00D33661" w:rsidRDefault="00D33661" w:rsidP="00D33661">
            <w:pPr>
              <w:rPr>
                <w:rFonts w:ascii="Calibri" w:hAnsi="Calibri"/>
                <w:color w:val="000000"/>
              </w:rPr>
            </w:pPr>
            <w:r w:rsidRPr="00D33661">
              <w:rPr>
                <w:rFonts w:ascii="Calibri" w:hAnsi="Calibri"/>
                <w:color w:val="000000"/>
              </w:rPr>
              <w:t> </w:t>
            </w:r>
          </w:p>
        </w:tc>
        <w:tc>
          <w:tcPr>
            <w:tcW w:w="1946" w:type="dxa"/>
            <w:gridSpan w:val="2"/>
            <w:tcBorders>
              <w:top w:val="single" w:sz="4" w:space="0" w:color="auto"/>
              <w:left w:val="nil"/>
              <w:bottom w:val="single" w:sz="4" w:space="0" w:color="auto"/>
              <w:right w:val="nil"/>
            </w:tcBorders>
            <w:shd w:val="clear" w:color="auto" w:fill="auto"/>
            <w:vAlign w:val="center"/>
            <w:hideMark/>
          </w:tcPr>
          <w:p w14:paraId="25823E1F" w14:textId="657F91ED" w:rsidR="00D33661" w:rsidRPr="00D33661" w:rsidRDefault="00D33661" w:rsidP="00D33661">
            <w:pPr>
              <w:jc w:val="center"/>
              <w:rPr>
                <w:rFonts w:ascii="Times Roman" w:hAnsi="Times Roman"/>
                <w:color w:val="000000"/>
                <w:sz w:val="16"/>
                <w:szCs w:val="16"/>
              </w:rPr>
            </w:pPr>
            <w:r w:rsidRPr="00D33661">
              <w:rPr>
                <w:rFonts w:ascii="Times Roman" w:hAnsi="Times Roman"/>
                <w:color w:val="000000"/>
                <w:sz w:val="16"/>
                <w:szCs w:val="16"/>
              </w:rPr>
              <w:t>Absent or Minimal Prenatal Care</w:t>
            </w:r>
            <w:r w:rsidRPr="00D33661">
              <w:rPr>
                <w:rFonts w:ascii="Times" w:hAnsi="Times" w:cs="Times"/>
                <w:sz w:val="18"/>
                <w:szCs w:val="18"/>
                <w:vertAlign w:val="superscript"/>
              </w:rPr>
              <w:sym w:font="Symbol" w:char="F0E0"/>
            </w:r>
          </w:p>
        </w:tc>
        <w:tc>
          <w:tcPr>
            <w:tcW w:w="1890" w:type="dxa"/>
            <w:gridSpan w:val="2"/>
            <w:tcBorders>
              <w:top w:val="single" w:sz="4" w:space="0" w:color="auto"/>
              <w:left w:val="nil"/>
              <w:bottom w:val="single" w:sz="4" w:space="0" w:color="auto"/>
              <w:right w:val="nil"/>
            </w:tcBorders>
            <w:shd w:val="clear" w:color="auto" w:fill="auto"/>
            <w:vAlign w:val="center"/>
            <w:hideMark/>
          </w:tcPr>
          <w:p w14:paraId="1095FA2A" w14:textId="6A0E1BA5" w:rsidR="00D33661" w:rsidRPr="00D33661" w:rsidRDefault="00D33661" w:rsidP="00D33661">
            <w:pPr>
              <w:jc w:val="center"/>
              <w:rPr>
                <w:rFonts w:ascii="Times Roman" w:hAnsi="Times Roman"/>
                <w:color w:val="000000"/>
                <w:sz w:val="16"/>
                <w:szCs w:val="16"/>
              </w:rPr>
            </w:pPr>
            <w:r w:rsidRPr="00D33661">
              <w:rPr>
                <w:rFonts w:ascii="Times Roman" w:hAnsi="Times Roman"/>
                <w:color w:val="000000"/>
                <w:sz w:val="16"/>
                <w:szCs w:val="16"/>
              </w:rPr>
              <w:t>MFM Specialist Care for High-Risk Birth</w:t>
            </w:r>
            <w:r w:rsidRPr="00D33661">
              <w:rPr>
                <w:rFonts w:ascii="Times" w:hAnsi="Times" w:cs="Times"/>
                <w:sz w:val="18"/>
                <w:szCs w:val="18"/>
                <w:vertAlign w:val="superscript"/>
              </w:rPr>
              <w:sym w:font="Symbol" w:char="F0E0"/>
            </w:r>
          </w:p>
        </w:tc>
        <w:tc>
          <w:tcPr>
            <w:tcW w:w="1880" w:type="dxa"/>
            <w:gridSpan w:val="2"/>
            <w:tcBorders>
              <w:top w:val="single" w:sz="4" w:space="0" w:color="auto"/>
              <w:left w:val="nil"/>
              <w:bottom w:val="single" w:sz="4" w:space="0" w:color="auto"/>
              <w:right w:val="nil"/>
            </w:tcBorders>
            <w:shd w:val="clear" w:color="auto" w:fill="auto"/>
            <w:vAlign w:val="center"/>
            <w:hideMark/>
          </w:tcPr>
          <w:p w14:paraId="64AADAFF" w14:textId="3A476E05" w:rsidR="00D33661" w:rsidRPr="00D33661" w:rsidRDefault="00D33661" w:rsidP="00D33661">
            <w:pPr>
              <w:jc w:val="center"/>
              <w:rPr>
                <w:rFonts w:ascii="Times Roman" w:hAnsi="Times Roman"/>
                <w:color w:val="000000"/>
                <w:sz w:val="16"/>
                <w:szCs w:val="16"/>
              </w:rPr>
            </w:pPr>
            <w:r w:rsidRPr="00D33661">
              <w:rPr>
                <w:rFonts w:ascii="Times Roman" w:hAnsi="Times Roman"/>
                <w:color w:val="000000"/>
                <w:sz w:val="16"/>
                <w:szCs w:val="16"/>
              </w:rPr>
              <w:t>Episiotomy</w:t>
            </w:r>
            <w:r w:rsidRPr="00D33661">
              <w:rPr>
                <w:rFonts w:ascii="Times" w:hAnsi="Times" w:cs="Times"/>
                <w:sz w:val="18"/>
                <w:szCs w:val="18"/>
                <w:vertAlign w:val="superscript"/>
              </w:rPr>
              <w:sym w:font="Symbol" w:char="F0E0"/>
            </w:r>
          </w:p>
        </w:tc>
        <w:tc>
          <w:tcPr>
            <w:tcW w:w="2086" w:type="dxa"/>
            <w:gridSpan w:val="2"/>
            <w:tcBorders>
              <w:top w:val="single" w:sz="4" w:space="0" w:color="auto"/>
              <w:left w:val="nil"/>
              <w:bottom w:val="single" w:sz="4" w:space="0" w:color="auto"/>
              <w:right w:val="nil"/>
            </w:tcBorders>
            <w:shd w:val="clear" w:color="auto" w:fill="auto"/>
            <w:vAlign w:val="center"/>
            <w:hideMark/>
          </w:tcPr>
          <w:p w14:paraId="09A05C41" w14:textId="615490ED" w:rsidR="00D33661" w:rsidRPr="00D33661" w:rsidRDefault="00D33661" w:rsidP="00D33661">
            <w:pPr>
              <w:jc w:val="center"/>
              <w:rPr>
                <w:rFonts w:ascii="Times Roman" w:hAnsi="Times Roman"/>
                <w:color w:val="000000"/>
                <w:sz w:val="16"/>
                <w:szCs w:val="16"/>
              </w:rPr>
            </w:pPr>
            <w:r w:rsidRPr="00D33661">
              <w:rPr>
                <w:rFonts w:ascii="Times Roman" w:hAnsi="Times Roman"/>
                <w:color w:val="000000"/>
                <w:sz w:val="16"/>
                <w:szCs w:val="16"/>
              </w:rPr>
              <w:t>Epidural Administration</w:t>
            </w:r>
            <w:r w:rsidRPr="00D33661">
              <w:rPr>
                <w:rFonts w:ascii="Times" w:hAnsi="Times" w:cs="Times"/>
                <w:sz w:val="18"/>
                <w:szCs w:val="18"/>
                <w:vertAlign w:val="superscript"/>
              </w:rPr>
              <w:sym w:font="Symbol" w:char="F0E0"/>
            </w:r>
          </w:p>
        </w:tc>
        <w:tc>
          <w:tcPr>
            <w:tcW w:w="2244" w:type="dxa"/>
            <w:gridSpan w:val="2"/>
            <w:tcBorders>
              <w:top w:val="single" w:sz="4" w:space="0" w:color="auto"/>
              <w:left w:val="nil"/>
              <w:bottom w:val="single" w:sz="4" w:space="0" w:color="auto"/>
              <w:right w:val="single" w:sz="4" w:space="0" w:color="000000"/>
            </w:tcBorders>
            <w:shd w:val="clear" w:color="auto" w:fill="auto"/>
            <w:vAlign w:val="center"/>
            <w:hideMark/>
          </w:tcPr>
          <w:p w14:paraId="67FFE780" w14:textId="77777777" w:rsidR="00D33661" w:rsidRPr="00D33661" w:rsidRDefault="00D33661" w:rsidP="00D33661">
            <w:pPr>
              <w:jc w:val="center"/>
              <w:rPr>
                <w:rFonts w:ascii="Times Roman" w:hAnsi="Times Roman"/>
                <w:color w:val="000000"/>
                <w:sz w:val="16"/>
                <w:szCs w:val="16"/>
              </w:rPr>
            </w:pPr>
            <w:r w:rsidRPr="00D33661">
              <w:rPr>
                <w:rFonts w:ascii="Times Roman" w:hAnsi="Times Roman"/>
                <w:color w:val="000000"/>
                <w:sz w:val="16"/>
                <w:szCs w:val="16"/>
              </w:rPr>
              <w:t>Antenatal Steroids for Preterm Birth</w:t>
            </w:r>
          </w:p>
        </w:tc>
      </w:tr>
      <w:tr w:rsidR="00D33661" w:rsidRPr="00D33661" w14:paraId="5930755D" w14:textId="77777777" w:rsidTr="00D33661">
        <w:trPr>
          <w:trHeight w:val="320"/>
        </w:trPr>
        <w:tc>
          <w:tcPr>
            <w:tcW w:w="1289" w:type="dxa"/>
            <w:tcBorders>
              <w:top w:val="nil"/>
              <w:left w:val="single" w:sz="4" w:space="0" w:color="auto"/>
              <w:bottom w:val="single" w:sz="4" w:space="0" w:color="auto"/>
              <w:right w:val="nil"/>
            </w:tcBorders>
            <w:shd w:val="clear" w:color="auto" w:fill="auto"/>
            <w:vAlign w:val="center"/>
            <w:hideMark/>
          </w:tcPr>
          <w:p w14:paraId="2B579DBC" w14:textId="77777777" w:rsidR="00D33661" w:rsidRPr="00D33661" w:rsidRDefault="00D33661" w:rsidP="00D33661">
            <w:pPr>
              <w:rPr>
                <w:rFonts w:ascii="Times" w:hAnsi="Times"/>
                <w:color w:val="000000"/>
                <w:sz w:val="18"/>
                <w:szCs w:val="18"/>
              </w:rPr>
            </w:pPr>
            <w:r w:rsidRPr="00D33661">
              <w:rPr>
                <w:rFonts w:ascii="Times" w:hAnsi="Times"/>
                <w:color w:val="000000"/>
                <w:sz w:val="18"/>
                <w:szCs w:val="18"/>
              </w:rPr>
              <w:t> </w:t>
            </w:r>
          </w:p>
        </w:tc>
        <w:tc>
          <w:tcPr>
            <w:tcW w:w="696" w:type="dxa"/>
            <w:tcBorders>
              <w:top w:val="nil"/>
              <w:left w:val="nil"/>
              <w:bottom w:val="single" w:sz="4" w:space="0" w:color="auto"/>
              <w:right w:val="nil"/>
            </w:tcBorders>
            <w:shd w:val="clear" w:color="auto" w:fill="auto"/>
            <w:vAlign w:val="center"/>
            <w:hideMark/>
          </w:tcPr>
          <w:p w14:paraId="5B4B113C" w14:textId="77777777" w:rsidR="00D33661" w:rsidRPr="00D33661" w:rsidRDefault="00D33661" w:rsidP="00D33661">
            <w:pPr>
              <w:jc w:val="center"/>
              <w:rPr>
                <w:rFonts w:ascii="Times" w:hAnsi="Times"/>
                <w:i/>
                <w:iCs/>
                <w:color w:val="000000"/>
                <w:sz w:val="15"/>
                <w:szCs w:val="15"/>
              </w:rPr>
            </w:pPr>
            <w:r w:rsidRPr="00D33661">
              <w:rPr>
                <w:rFonts w:ascii="Times" w:hAnsi="Times"/>
                <w:i/>
                <w:iCs/>
                <w:color w:val="000000"/>
                <w:sz w:val="15"/>
                <w:szCs w:val="15"/>
              </w:rPr>
              <w:t>N</w:t>
            </w:r>
          </w:p>
        </w:tc>
        <w:tc>
          <w:tcPr>
            <w:tcW w:w="1250" w:type="dxa"/>
            <w:tcBorders>
              <w:top w:val="nil"/>
              <w:left w:val="nil"/>
              <w:bottom w:val="single" w:sz="4" w:space="0" w:color="auto"/>
              <w:right w:val="nil"/>
            </w:tcBorders>
            <w:shd w:val="clear" w:color="auto" w:fill="auto"/>
            <w:vAlign w:val="center"/>
            <w:hideMark/>
          </w:tcPr>
          <w:p w14:paraId="69E0FFC3" w14:textId="77777777" w:rsidR="00D33661" w:rsidRPr="00D33661" w:rsidRDefault="00D33661" w:rsidP="00D33661">
            <w:pPr>
              <w:jc w:val="center"/>
              <w:rPr>
                <w:rFonts w:ascii="Times" w:hAnsi="Times"/>
                <w:i/>
                <w:iCs/>
                <w:color w:val="000000"/>
                <w:sz w:val="15"/>
                <w:szCs w:val="15"/>
              </w:rPr>
            </w:pPr>
            <w:r w:rsidRPr="00D33661">
              <w:rPr>
                <w:rFonts w:ascii="Times" w:hAnsi="Times"/>
                <w:i/>
                <w:iCs/>
                <w:color w:val="000000"/>
                <w:sz w:val="15"/>
                <w:szCs w:val="15"/>
              </w:rPr>
              <w:t>aRR</w:t>
            </w:r>
          </w:p>
        </w:tc>
        <w:tc>
          <w:tcPr>
            <w:tcW w:w="603" w:type="dxa"/>
            <w:tcBorders>
              <w:top w:val="nil"/>
              <w:left w:val="nil"/>
              <w:bottom w:val="single" w:sz="4" w:space="0" w:color="auto"/>
              <w:right w:val="nil"/>
            </w:tcBorders>
            <w:shd w:val="clear" w:color="auto" w:fill="auto"/>
            <w:vAlign w:val="center"/>
            <w:hideMark/>
          </w:tcPr>
          <w:p w14:paraId="77C0DB4A" w14:textId="77777777" w:rsidR="00D33661" w:rsidRPr="00D33661" w:rsidRDefault="00D33661" w:rsidP="00D33661">
            <w:pPr>
              <w:jc w:val="center"/>
              <w:rPr>
                <w:rFonts w:ascii="Times" w:hAnsi="Times"/>
                <w:i/>
                <w:iCs/>
                <w:color w:val="000000"/>
                <w:sz w:val="15"/>
                <w:szCs w:val="15"/>
              </w:rPr>
            </w:pPr>
            <w:r w:rsidRPr="00D33661">
              <w:rPr>
                <w:rFonts w:ascii="Times" w:hAnsi="Times"/>
                <w:i/>
                <w:iCs/>
                <w:color w:val="000000"/>
                <w:sz w:val="15"/>
                <w:szCs w:val="15"/>
              </w:rPr>
              <w:t>N</w:t>
            </w:r>
          </w:p>
        </w:tc>
        <w:tc>
          <w:tcPr>
            <w:tcW w:w="1287" w:type="dxa"/>
            <w:tcBorders>
              <w:top w:val="nil"/>
              <w:left w:val="nil"/>
              <w:bottom w:val="single" w:sz="4" w:space="0" w:color="auto"/>
              <w:right w:val="nil"/>
            </w:tcBorders>
            <w:shd w:val="clear" w:color="auto" w:fill="auto"/>
            <w:vAlign w:val="center"/>
            <w:hideMark/>
          </w:tcPr>
          <w:p w14:paraId="3CA9A4F6" w14:textId="77777777" w:rsidR="00D33661" w:rsidRPr="00D33661" w:rsidRDefault="00D33661" w:rsidP="00D33661">
            <w:pPr>
              <w:jc w:val="center"/>
              <w:rPr>
                <w:rFonts w:ascii="Times" w:hAnsi="Times"/>
                <w:i/>
                <w:iCs/>
                <w:color w:val="000000"/>
                <w:sz w:val="15"/>
                <w:szCs w:val="15"/>
              </w:rPr>
            </w:pPr>
            <w:r w:rsidRPr="00D33661">
              <w:rPr>
                <w:rFonts w:ascii="Times" w:hAnsi="Times"/>
                <w:i/>
                <w:iCs/>
                <w:color w:val="000000"/>
                <w:sz w:val="15"/>
                <w:szCs w:val="15"/>
              </w:rPr>
              <w:t>aRR</w:t>
            </w:r>
          </w:p>
        </w:tc>
        <w:tc>
          <w:tcPr>
            <w:tcW w:w="604" w:type="dxa"/>
            <w:tcBorders>
              <w:top w:val="nil"/>
              <w:left w:val="nil"/>
              <w:bottom w:val="single" w:sz="4" w:space="0" w:color="auto"/>
              <w:right w:val="nil"/>
            </w:tcBorders>
            <w:shd w:val="clear" w:color="auto" w:fill="auto"/>
            <w:vAlign w:val="center"/>
            <w:hideMark/>
          </w:tcPr>
          <w:p w14:paraId="532A4D9A" w14:textId="77777777" w:rsidR="00D33661" w:rsidRPr="00D33661" w:rsidRDefault="00D33661" w:rsidP="00D33661">
            <w:pPr>
              <w:jc w:val="center"/>
              <w:rPr>
                <w:i/>
                <w:iCs/>
                <w:color w:val="000000"/>
                <w:sz w:val="15"/>
                <w:szCs w:val="15"/>
              </w:rPr>
            </w:pPr>
            <w:r w:rsidRPr="00D33661">
              <w:rPr>
                <w:i/>
                <w:iCs/>
                <w:color w:val="000000"/>
                <w:sz w:val="15"/>
                <w:szCs w:val="15"/>
              </w:rPr>
              <w:t>N</w:t>
            </w:r>
          </w:p>
        </w:tc>
        <w:tc>
          <w:tcPr>
            <w:tcW w:w="1276" w:type="dxa"/>
            <w:tcBorders>
              <w:top w:val="nil"/>
              <w:left w:val="nil"/>
              <w:bottom w:val="single" w:sz="4" w:space="0" w:color="auto"/>
              <w:right w:val="nil"/>
            </w:tcBorders>
            <w:shd w:val="clear" w:color="auto" w:fill="auto"/>
            <w:vAlign w:val="center"/>
            <w:hideMark/>
          </w:tcPr>
          <w:p w14:paraId="18EFFDCA" w14:textId="77777777" w:rsidR="00D33661" w:rsidRPr="00D33661" w:rsidRDefault="00D33661" w:rsidP="00D33661">
            <w:pPr>
              <w:jc w:val="center"/>
              <w:rPr>
                <w:i/>
                <w:iCs/>
                <w:color w:val="000000"/>
                <w:sz w:val="15"/>
                <w:szCs w:val="15"/>
              </w:rPr>
            </w:pPr>
            <w:r w:rsidRPr="00D33661">
              <w:rPr>
                <w:i/>
                <w:iCs/>
                <w:color w:val="000000"/>
                <w:sz w:val="15"/>
                <w:szCs w:val="15"/>
              </w:rPr>
              <w:t>aRR</w:t>
            </w:r>
          </w:p>
        </w:tc>
        <w:tc>
          <w:tcPr>
            <w:tcW w:w="591" w:type="dxa"/>
            <w:tcBorders>
              <w:top w:val="nil"/>
              <w:left w:val="nil"/>
              <w:bottom w:val="single" w:sz="4" w:space="0" w:color="auto"/>
              <w:right w:val="nil"/>
            </w:tcBorders>
            <w:shd w:val="clear" w:color="auto" w:fill="auto"/>
            <w:vAlign w:val="center"/>
            <w:hideMark/>
          </w:tcPr>
          <w:p w14:paraId="49E7F6FD" w14:textId="77777777" w:rsidR="00D33661" w:rsidRPr="00D33661" w:rsidRDefault="00D33661" w:rsidP="00D33661">
            <w:pPr>
              <w:jc w:val="center"/>
              <w:rPr>
                <w:i/>
                <w:iCs/>
                <w:color w:val="000000"/>
                <w:sz w:val="15"/>
                <w:szCs w:val="15"/>
              </w:rPr>
            </w:pPr>
            <w:r w:rsidRPr="00D33661">
              <w:rPr>
                <w:i/>
                <w:iCs/>
                <w:color w:val="000000"/>
                <w:sz w:val="15"/>
                <w:szCs w:val="15"/>
              </w:rPr>
              <w:t>N</w:t>
            </w:r>
          </w:p>
        </w:tc>
        <w:tc>
          <w:tcPr>
            <w:tcW w:w="1495" w:type="dxa"/>
            <w:tcBorders>
              <w:top w:val="nil"/>
              <w:left w:val="nil"/>
              <w:bottom w:val="single" w:sz="4" w:space="0" w:color="auto"/>
              <w:right w:val="nil"/>
            </w:tcBorders>
            <w:shd w:val="clear" w:color="auto" w:fill="auto"/>
            <w:vAlign w:val="center"/>
            <w:hideMark/>
          </w:tcPr>
          <w:p w14:paraId="62FB221F" w14:textId="77777777" w:rsidR="00D33661" w:rsidRPr="00D33661" w:rsidRDefault="00D33661" w:rsidP="00D33661">
            <w:pPr>
              <w:jc w:val="center"/>
              <w:rPr>
                <w:rFonts w:ascii="Times Roman" w:hAnsi="Times Roman"/>
                <w:i/>
                <w:iCs/>
                <w:color w:val="000000"/>
                <w:sz w:val="15"/>
                <w:szCs w:val="15"/>
              </w:rPr>
            </w:pPr>
            <w:r w:rsidRPr="00D33661">
              <w:rPr>
                <w:rFonts w:ascii="Times Roman" w:hAnsi="Times Roman"/>
                <w:i/>
                <w:iCs/>
                <w:color w:val="000000"/>
                <w:sz w:val="15"/>
                <w:szCs w:val="15"/>
              </w:rPr>
              <w:t>aRR</w:t>
            </w:r>
          </w:p>
        </w:tc>
        <w:tc>
          <w:tcPr>
            <w:tcW w:w="516" w:type="dxa"/>
            <w:tcBorders>
              <w:top w:val="nil"/>
              <w:left w:val="nil"/>
              <w:bottom w:val="single" w:sz="4" w:space="0" w:color="auto"/>
              <w:right w:val="nil"/>
            </w:tcBorders>
            <w:shd w:val="clear" w:color="auto" w:fill="auto"/>
            <w:vAlign w:val="center"/>
            <w:hideMark/>
          </w:tcPr>
          <w:p w14:paraId="5758F3C6" w14:textId="77777777" w:rsidR="00D33661" w:rsidRPr="00D33661" w:rsidRDefault="00D33661" w:rsidP="00D33661">
            <w:pPr>
              <w:jc w:val="center"/>
              <w:rPr>
                <w:i/>
                <w:iCs/>
                <w:color w:val="000000"/>
                <w:sz w:val="15"/>
                <w:szCs w:val="15"/>
              </w:rPr>
            </w:pPr>
            <w:r w:rsidRPr="00D33661">
              <w:rPr>
                <w:i/>
                <w:iCs/>
                <w:color w:val="000000"/>
                <w:sz w:val="15"/>
                <w:szCs w:val="15"/>
              </w:rPr>
              <w:t>N</w:t>
            </w:r>
          </w:p>
        </w:tc>
        <w:tc>
          <w:tcPr>
            <w:tcW w:w="1728" w:type="dxa"/>
            <w:tcBorders>
              <w:top w:val="nil"/>
              <w:left w:val="nil"/>
              <w:bottom w:val="single" w:sz="4" w:space="0" w:color="auto"/>
              <w:right w:val="single" w:sz="4" w:space="0" w:color="auto"/>
            </w:tcBorders>
            <w:shd w:val="clear" w:color="auto" w:fill="auto"/>
            <w:vAlign w:val="center"/>
            <w:hideMark/>
          </w:tcPr>
          <w:p w14:paraId="0A8CDE15" w14:textId="6B7A5DDC" w:rsidR="00D33661" w:rsidRPr="00D33661" w:rsidRDefault="00D33661" w:rsidP="00D33661">
            <w:pPr>
              <w:jc w:val="center"/>
              <w:rPr>
                <w:i/>
                <w:iCs/>
                <w:color w:val="000000"/>
                <w:sz w:val="15"/>
                <w:szCs w:val="15"/>
              </w:rPr>
            </w:pPr>
            <w:r w:rsidRPr="00D33661">
              <w:rPr>
                <w:i/>
                <w:iCs/>
                <w:color w:val="000000"/>
                <w:sz w:val="15"/>
                <w:szCs w:val="15"/>
              </w:rPr>
              <w:t>RR</w:t>
            </w:r>
          </w:p>
        </w:tc>
      </w:tr>
      <w:tr w:rsidR="00D33661" w:rsidRPr="00D33661" w14:paraId="076C01B7" w14:textId="77777777" w:rsidTr="00D33661">
        <w:trPr>
          <w:trHeight w:val="680"/>
        </w:trPr>
        <w:tc>
          <w:tcPr>
            <w:tcW w:w="1289" w:type="dxa"/>
            <w:tcBorders>
              <w:top w:val="nil"/>
              <w:left w:val="single" w:sz="4" w:space="0" w:color="auto"/>
              <w:bottom w:val="single" w:sz="4" w:space="0" w:color="auto"/>
              <w:right w:val="nil"/>
            </w:tcBorders>
            <w:shd w:val="clear" w:color="auto" w:fill="auto"/>
            <w:vAlign w:val="center"/>
            <w:hideMark/>
          </w:tcPr>
          <w:p w14:paraId="3313514B" w14:textId="77777777" w:rsidR="00D33661" w:rsidRPr="00D33661" w:rsidRDefault="00D33661" w:rsidP="00D33661">
            <w:pPr>
              <w:rPr>
                <w:rFonts w:ascii="Times" w:hAnsi="Times"/>
                <w:color w:val="000000"/>
                <w:sz w:val="17"/>
                <w:szCs w:val="17"/>
              </w:rPr>
            </w:pPr>
            <w:r w:rsidRPr="00D33661">
              <w:rPr>
                <w:rFonts w:ascii="Times" w:hAnsi="Times"/>
                <w:color w:val="000000"/>
                <w:sz w:val="17"/>
                <w:szCs w:val="17"/>
              </w:rPr>
              <w:t>NH White</w:t>
            </w:r>
          </w:p>
        </w:tc>
        <w:tc>
          <w:tcPr>
            <w:tcW w:w="696" w:type="dxa"/>
            <w:tcBorders>
              <w:top w:val="nil"/>
              <w:left w:val="nil"/>
              <w:bottom w:val="single" w:sz="4" w:space="0" w:color="auto"/>
              <w:right w:val="nil"/>
            </w:tcBorders>
            <w:shd w:val="clear" w:color="auto" w:fill="auto"/>
            <w:vAlign w:val="center"/>
            <w:hideMark/>
          </w:tcPr>
          <w:p w14:paraId="0722824A" w14:textId="77777777" w:rsidR="00D33661" w:rsidRPr="00D33661" w:rsidRDefault="00D33661" w:rsidP="00D33661">
            <w:pPr>
              <w:jc w:val="center"/>
              <w:rPr>
                <w:color w:val="000000"/>
                <w:sz w:val="15"/>
                <w:szCs w:val="15"/>
              </w:rPr>
            </w:pPr>
            <w:r w:rsidRPr="00D33661">
              <w:rPr>
                <w:color w:val="000000"/>
                <w:sz w:val="15"/>
                <w:szCs w:val="15"/>
              </w:rPr>
              <w:t>30528</w:t>
            </w:r>
          </w:p>
        </w:tc>
        <w:tc>
          <w:tcPr>
            <w:tcW w:w="1250" w:type="dxa"/>
            <w:tcBorders>
              <w:top w:val="nil"/>
              <w:left w:val="nil"/>
              <w:bottom w:val="single" w:sz="4" w:space="0" w:color="auto"/>
              <w:right w:val="nil"/>
            </w:tcBorders>
            <w:shd w:val="clear" w:color="auto" w:fill="auto"/>
            <w:vAlign w:val="center"/>
            <w:hideMark/>
          </w:tcPr>
          <w:p w14:paraId="51ED14C4" w14:textId="77777777" w:rsidR="00D33661" w:rsidRPr="00D33661" w:rsidRDefault="00D33661" w:rsidP="00D33661">
            <w:pPr>
              <w:jc w:val="center"/>
              <w:rPr>
                <w:rFonts w:ascii="Times" w:hAnsi="Times"/>
                <w:color w:val="000000"/>
                <w:sz w:val="15"/>
                <w:szCs w:val="15"/>
              </w:rPr>
            </w:pPr>
            <w:r w:rsidRPr="00D33661">
              <w:rPr>
                <w:rFonts w:ascii="Times" w:hAnsi="Times"/>
                <w:color w:val="000000"/>
                <w:sz w:val="15"/>
                <w:szCs w:val="15"/>
              </w:rPr>
              <w:t>1.0 (ref)</w:t>
            </w:r>
          </w:p>
        </w:tc>
        <w:tc>
          <w:tcPr>
            <w:tcW w:w="603" w:type="dxa"/>
            <w:tcBorders>
              <w:top w:val="nil"/>
              <w:left w:val="nil"/>
              <w:bottom w:val="single" w:sz="4" w:space="0" w:color="auto"/>
              <w:right w:val="nil"/>
            </w:tcBorders>
            <w:shd w:val="clear" w:color="auto" w:fill="auto"/>
            <w:vAlign w:val="center"/>
            <w:hideMark/>
          </w:tcPr>
          <w:p w14:paraId="0F4292C6" w14:textId="77777777" w:rsidR="00D33661" w:rsidRPr="00D33661" w:rsidRDefault="00D33661" w:rsidP="00D33661">
            <w:pPr>
              <w:jc w:val="center"/>
              <w:rPr>
                <w:rFonts w:ascii="Times" w:hAnsi="Times"/>
                <w:color w:val="000000"/>
                <w:sz w:val="15"/>
                <w:szCs w:val="15"/>
              </w:rPr>
            </w:pPr>
            <w:r w:rsidRPr="00D33661">
              <w:rPr>
                <w:rFonts w:ascii="Times" w:hAnsi="Times"/>
                <w:color w:val="000000"/>
                <w:sz w:val="15"/>
                <w:szCs w:val="15"/>
              </w:rPr>
              <w:t>11073</w:t>
            </w:r>
          </w:p>
        </w:tc>
        <w:tc>
          <w:tcPr>
            <w:tcW w:w="1287" w:type="dxa"/>
            <w:tcBorders>
              <w:top w:val="nil"/>
              <w:left w:val="nil"/>
              <w:bottom w:val="single" w:sz="4" w:space="0" w:color="auto"/>
              <w:right w:val="nil"/>
            </w:tcBorders>
            <w:shd w:val="clear" w:color="auto" w:fill="auto"/>
            <w:vAlign w:val="center"/>
            <w:hideMark/>
          </w:tcPr>
          <w:p w14:paraId="08057B2B" w14:textId="77777777" w:rsidR="00D33661" w:rsidRPr="00D33661" w:rsidRDefault="00D33661" w:rsidP="00D33661">
            <w:pPr>
              <w:jc w:val="center"/>
              <w:rPr>
                <w:rFonts w:ascii="Times" w:hAnsi="Times"/>
                <w:color w:val="000000"/>
                <w:sz w:val="15"/>
                <w:szCs w:val="15"/>
              </w:rPr>
            </w:pPr>
            <w:r w:rsidRPr="00D33661">
              <w:rPr>
                <w:rFonts w:ascii="Times" w:hAnsi="Times"/>
                <w:color w:val="000000"/>
                <w:sz w:val="15"/>
                <w:szCs w:val="15"/>
              </w:rPr>
              <w:t>1.0 (ref)</w:t>
            </w:r>
          </w:p>
        </w:tc>
        <w:tc>
          <w:tcPr>
            <w:tcW w:w="604" w:type="dxa"/>
            <w:tcBorders>
              <w:top w:val="nil"/>
              <w:left w:val="nil"/>
              <w:bottom w:val="single" w:sz="4" w:space="0" w:color="auto"/>
              <w:right w:val="nil"/>
            </w:tcBorders>
            <w:shd w:val="clear" w:color="auto" w:fill="auto"/>
            <w:vAlign w:val="center"/>
            <w:hideMark/>
          </w:tcPr>
          <w:p w14:paraId="5552CDCD" w14:textId="77777777" w:rsidR="00D33661" w:rsidRPr="00D33661" w:rsidRDefault="00D33661" w:rsidP="00D33661">
            <w:pPr>
              <w:jc w:val="center"/>
              <w:rPr>
                <w:color w:val="000000"/>
                <w:sz w:val="15"/>
                <w:szCs w:val="15"/>
              </w:rPr>
            </w:pPr>
            <w:r w:rsidRPr="00D33661">
              <w:rPr>
                <w:color w:val="000000"/>
                <w:sz w:val="15"/>
                <w:szCs w:val="15"/>
              </w:rPr>
              <w:t>20404</w:t>
            </w:r>
          </w:p>
        </w:tc>
        <w:tc>
          <w:tcPr>
            <w:tcW w:w="1276" w:type="dxa"/>
            <w:tcBorders>
              <w:top w:val="nil"/>
              <w:left w:val="nil"/>
              <w:bottom w:val="single" w:sz="4" w:space="0" w:color="auto"/>
              <w:right w:val="nil"/>
            </w:tcBorders>
            <w:shd w:val="clear" w:color="auto" w:fill="auto"/>
            <w:vAlign w:val="center"/>
            <w:hideMark/>
          </w:tcPr>
          <w:p w14:paraId="64AE1F9E" w14:textId="77777777" w:rsidR="00D33661" w:rsidRPr="00D33661" w:rsidRDefault="00D33661" w:rsidP="00D33661">
            <w:pPr>
              <w:jc w:val="center"/>
              <w:rPr>
                <w:rFonts w:ascii="Times" w:hAnsi="Times"/>
                <w:color w:val="000000"/>
                <w:sz w:val="15"/>
                <w:szCs w:val="15"/>
              </w:rPr>
            </w:pPr>
            <w:r w:rsidRPr="00D33661">
              <w:rPr>
                <w:rFonts w:ascii="Times" w:hAnsi="Times"/>
                <w:color w:val="000000"/>
                <w:sz w:val="15"/>
                <w:szCs w:val="15"/>
              </w:rPr>
              <w:t>1.0 (ref)</w:t>
            </w:r>
          </w:p>
        </w:tc>
        <w:tc>
          <w:tcPr>
            <w:tcW w:w="591" w:type="dxa"/>
            <w:tcBorders>
              <w:top w:val="nil"/>
              <w:left w:val="nil"/>
              <w:bottom w:val="single" w:sz="4" w:space="0" w:color="auto"/>
              <w:right w:val="nil"/>
            </w:tcBorders>
            <w:shd w:val="clear" w:color="auto" w:fill="auto"/>
            <w:vAlign w:val="center"/>
            <w:hideMark/>
          </w:tcPr>
          <w:p w14:paraId="06FFCAB1" w14:textId="77777777" w:rsidR="00D33661" w:rsidRPr="00D33661" w:rsidRDefault="00D33661" w:rsidP="00D33661">
            <w:pPr>
              <w:jc w:val="center"/>
              <w:rPr>
                <w:color w:val="000000"/>
                <w:sz w:val="15"/>
                <w:szCs w:val="15"/>
              </w:rPr>
            </w:pPr>
            <w:r w:rsidRPr="00D33661">
              <w:rPr>
                <w:color w:val="000000"/>
                <w:sz w:val="15"/>
                <w:szCs w:val="15"/>
              </w:rPr>
              <w:t>30528</w:t>
            </w:r>
          </w:p>
        </w:tc>
        <w:tc>
          <w:tcPr>
            <w:tcW w:w="1495" w:type="dxa"/>
            <w:tcBorders>
              <w:top w:val="nil"/>
              <w:left w:val="nil"/>
              <w:bottom w:val="single" w:sz="4" w:space="0" w:color="auto"/>
              <w:right w:val="nil"/>
            </w:tcBorders>
            <w:shd w:val="clear" w:color="auto" w:fill="auto"/>
            <w:noWrap/>
            <w:vAlign w:val="center"/>
            <w:hideMark/>
          </w:tcPr>
          <w:p w14:paraId="1E0F970F" w14:textId="77777777" w:rsidR="00D33661" w:rsidRPr="00D33661" w:rsidRDefault="00D33661" w:rsidP="00D33661">
            <w:pPr>
              <w:jc w:val="center"/>
              <w:rPr>
                <w:rFonts w:ascii="Times Roman" w:hAnsi="Times Roman"/>
                <w:color w:val="000000"/>
                <w:sz w:val="15"/>
                <w:szCs w:val="15"/>
              </w:rPr>
            </w:pPr>
            <w:r w:rsidRPr="00D33661">
              <w:rPr>
                <w:rFonts w:ascii="Times Roman" w:hAnsi="Times Roman"/>
                <w:color w:val="000000"/>
                <w:sz w:val="15"/>
                <w:szCs w:val="15"/>
              </w:rPr>
              <w:t>1.0 (ref)</w:t>
            </w:r>
          </w:p>
        </w:tc>
        <w:tc>
          <w:tcPr>
            <w:tcW w:w="516" w:type="dxa"/>
            <w:tcBorders>
              <w:top w:val="nil"/>
              <w:left w:val="nil"/>
              <w:bottom w:val="single" w:sz="4" w:space="0" w:color="auto"/>
              <w:right w:val="nil"/>
            </w:tcBorders>
            <w:shd w:val="clear" w:color="auto" w:fill="auto"/>
            <w:vAlign w:val="center"/>
            <w:hideMark/>
          </w:tcPr>
          <w:p w14:paraId="5722DB1C" w14:textId="77777777" w:rsidR="00D33661" w:rsidRPr="00D33661" w:rsidRDefault="00D33661" w:rsidP="00D33661">
            <w:pPr>
              <w:jc w:val="center"/>
              <w:rPr>
                <w:color w:val="000000"/>
                <w:sz w:val="15"/>
                <w:szCs w:val="15"/>
              </w:rPr>
            </w:pPr>
            <w:r w:rsidRPr="00D33661">
              <w:rPr>
                <w:color w:val="000000"/>
                <w:sz w:val="15"/>
                <w:szCs w:val="15"/>
              </w:rPr>
              <w:t>1820</w:t>
            </w:r>
          </w:p>
        </w:tc>
        <w:tc>
          <w:tcPr>
            <w:tcW w:w="1728" w:type="dxa"/>
            <w:tcBorders>
              <w:top w:val="nil"/>
              <w:left w:val="nil"/>
              <w:bottom w:val="single" w:sz="4" w:space="0" w:color="auto"/>
              <w:right w:val="single" w:sz="4" w:space="0" w:color="auto"/>
            </w:tcBorders>
            <w:shd w:val="clear" w:color="auto" w:fill="auto"/>
            <w:vAlign w:val="center"/>
            <w:hideMark/>
          </w:tcPr>
          <w:p w14:paraId="6F3CB801" w14:textId="77777777" w:rsidR="00D33661" w:rsidRPr="00D33661" w:rsidRDefault="00D33661" w:rsidP="00D33661">
            <w:pPr>
              <w:jc w:val="center"/>
              <w:rPr>
                <w:rFonts w:ascii="Times" w:hAnsi="Times"/>
                <w:color w:val="000000"/>
                <w:sz w:val="15"/>
                <w:szCs w:val="15"/>
              </w:rPr>
            </w:pPr>
            <w:r w:rsidRPr="00D33661">
              <w:rPr>
                <w:rFonts w:ascii="Times" w:hAnsi="Times"/>
                <w:color w:val="000000"/>
                <w:sz w:val="15"/>
                <w:szCs w:val="15"/>
              </w:rPr>
              <w:t>1.0 (ref)</w:t>
            </w:r>
          </w:p>
        </w:tc>
      </w:tr>
      <w:tr w:rsidR="00D33661" w:rsidRPr="00D33661" w14:paraId="3F495499" w14:textId="77777777" w:rsidTr="00D33661">
        <w:trPr>
          <w:trHeight w:val="680"/>
        </w:trPr>
        <w:tc>
          <w:tcPr>
            <w:tcW w:w="1289" w:type="dxa"/>
            <w:tcBorders>
              <w:top w:val="nil"/>
              <w:left w:val="single" w:sz="4" w:space="0" w:color="auto"/>
              <w:bottom w:val="single" w:sz="4" w:space="0" w:color="auto"/>
              <w:right w:val="nil"/>
            </w:tcBorders>
            <w:shd w:val="clear" w:color="auto" w:fill="auto"/>
            <w:vAlign w:val="center"/>
            <w:hideMark/>
          </w:tcPr>
          <w:p w14:paraId="558A8CFD" w14:textId="77777777" w:rsidR="00D33661" w:rsidRPr="00D33661" w:rsidRDefault="00D33661" w:rsidP="00D33661">
            <w:pPr>
              <w:rPr>
                <w:rFonts w:ascii="Times" w:hAnsi="Times"/>
                <w:color w:val="000000"/>
                <w:sz w:val="17"/>
                <w:szCs w:val="17"/>
              </w:rPr>
            </w:pPr>
            <w:r w:rsidRPr="00D33661">
              <w:rPr>
                <w:rFonts w:ascii="Times" w:hAnsi="Times"/>
                <w:color w:val="000000"/>
                <w:sz w:val="17"/>
                <w:szCs w:val="17"/>
              </w:rPr>
              <w:t>NH Asian</w:t>
            </w:r>
          </w:p>
        </w:tc>
        <w:tc>
          <w:tcPr>
            <w:tcW w:w="696" w:type="dxa"/>
            <w:tcBorders>
              <w:top w:val="nil"/>
              <w:left w:val="nil"/>
              <w:bottom w:val="single" w:sz="4" w:space="0" w:color="auto"/>
              <w:right w:val="nil"/>
            </w:tcBorders>
            <w:shd w:val="clear" w:color="auto" w:fill="auto"/>
            <w:vAlign w:val="center"/>
            <w:hideMark/>
          </w:tcPr>
          <w:p w14:paraId="3F4FB900" w14:textId="77777777" w:rsidR="00D33661" w:rsidRPr="00D33661" w:rsidRDefault="00D33661" w:rsidP="00D33661">
            <w:pPr>
              <w:jc w:val="center"/>
              <w:rPr>
                <w:color w:val="000000"/>
                <w:sz w:val="15"/>
                <w:szCs w:val="15"/>
              </w:rPr>
            </w:pPr>
            <w:r w:rsidRPr="00D33661">
              <w:rPr>
                <w:color w:val="000000"/>
                <w:sz w:val="15"/>
                <w:szCs w:val="15"/>
              </w:rPr>
              <w:t>10634</w:t>
            </w:r>
          </w:p>
        </w:tc>
        <w:tc>
          <w:tcPr>
            <w:tcW w:w="1250" w:type="dxa"/>
            <w:tcBorders>
              <w:top w:val="nil"/>
              <w:left w:val="nil"/>
              <w:bottom w:val="single" w:sz="4" w:space="0" w:color="auto"/>
              <w:right w:val="nil"/>
            </w:tcBorders>
            <w:shd w:val="clear" w:color="auto" w:fill="auto"/>
            <w:vAlign w:val="center"/>
            <w:hideMark/>
          </w:tcPr>
          <w:p w14:paraId="70790ED6" w14:textId="77777777" w:rsidR="00D33661" w:rsidRPr="00D33661" w:rsidRDefault="00D33661" w:rsidP="00D33661">
            <w:pPr>
              <w:jc w:val="center"/>
              <w:rPr>
                <w:rFonts w:ascii="Times" w:hAnsi="Times"/>
                <w:color w:val="000000"/>
                <w:sz w:val="15"/>
                <w:szCs w:val="15"/>
              </w:rPr>
            </w:pPr>
            <w:r w:rsidRPr="00D33661">
              <w:rPr>
                <w:rFonts w:ascii="Times" w:hAnsi="Times"/>
                <w:color w:val="000000"/>
                <w:sz w:val="15"/>
                <w:szCs w:val="15"/>
              </w:rPr>
              <w:t>0.84 (0.71, 1.00)</w:t>
            </w:r>
          </w:p>
        </w:tc>
        <w:tc>
          <w:tcPr>
            <w:tcW w:w="603" w:type="dxa"/>
            <w:tcBorders>
              <w:top w:val="nil"/>
              <w:left w:val="nil"/>
              <w:bottom w:val="single" w:sz="4" w:space="0" w:color="auto"/>
              <w:right w:val="nil"/>
            </w:tcBorders>
            <w:shd w:val="clear" w:color="auto" w:fill="auto"/>
            <w:vAlign w:val="center"/>
            <w:hideMark/>
          </w:tcPr>
          <w:p w14:paraId="6F3B1FC6" w14:textId="77777777" w:rsidR="00D33661" w:rsidRPr="00D33661" w:rsidRDefault="00D33661" w:rsidP="00D33661">
            <w:pPr>
              <w:jc w:val="center"/>
              <w:rPr>
                <w:rFonts w:ascii="Times" w:hAnsi="Times"/>
                <w:color w:val="000000"/>
                <w:sz w:val="15"/>
                <w:szCs w:val="15"/>
              </w:rPr>
            </w:pPr>
            <w:r w:rsidRPr="00D33661">
              <w:rPr>
                <w:rFonts w:ascii="Times" w:hAnsi="Times"/>
                <w:color w:val="000000"/>
                <w:sz w:val="15"/>
                <w:szCs w:val="15"/>
              </w:rPr>
              <w:t>3341</w:t>
            </w:r>
          </w:p>
        </w:tc>
        <w:tc>
          <w:tcPr>
            <w:tcW w:w="1287" w:type="dxa"/>
            <w:tcBorders>
              <w:top w:val="nil"/>
              <w:left w:val="nil"/>
              <w:bottom w:val="single" w:sz="4" w:space="0" w:color="auto"/>
              <w:right w:val="nil"/>
            </w:tcBorders>
            <w:shd w:val="clear" w:color="auto" w:fill="auto"/>
            <w:vAlign w:val="center"/>
            <w:hideMark/>
          </w:tcPr>
          <w:p w14:paraId="4A3EEED5" w14:textId="77777777" w:rsidR="00D33661" w:rsidRPr="00D33661" w:rsidRDefault="00D33661" w:rsidP="00D33661">
            <w:pPr>
              <w:jc w:val="center"/>
              <w:rPr>
                <w:rFonts w:ascii="Times" w:hAnsi="Times"/>
                <w:color w:val="000000"/>
                <w:sz w:val="15"/>
                <w:szCs w:val="15"/>
              </w:rPr>
            </w:pPr>
            <w:r w:rsidRPr="00D33661">
              <w:rPr>
                <w:rFonts w:ascii="Times" w:hAnsi="Times"/>
                <w:color w:val="000000"/>
                <w:sz w:val="15"/>
                <w:szCs w:val="15"/>
              </w:rPr>
              <w:t>0.93 (0.77, 1.12)</w:t>
            </w:r>
          </w:p>
        </w:tc>
        <w:tc>
          <w:tcPr>
            <w:tcW w:w="604" w:type="dxa"/>
            <w:tcBorders>
              <w:top w:val="nil"/>
              <w:left w:val="nil"/>
              <w:bottom w:val="single" w:sz="4" w:space="0" w:color="auto"/>
              <w:right w:val="nil"/>
            </w:tcBorders>
            <w:shd w:val="clear" w:color="auto" w:fill="auto"/>
            <w:vAlign w:val="center"/>
            <w:hideMark/>
          </w:tcPr>
          <w:p w14:paraId="6B5D3D9D" w14:textId="77777777" w:rsidR="00D33661" w:rsidRPr="00D33661" w:rsidRDefault="00D33661" w:rsidP="00D33661">
            <w:pPr>
              <w:jc w:val="center"/>
              <w:rPr>
                <w:color w:val="000000"/>
                <w:sz w:val="15"/>
                <w:szCs w:val="15"/>
              </w:rPr>
            </w:pPr>
            <w:r w:rsidRPr="00D33661">
              <w:rPr>
                <w:color w:val="000000"/>
                <w:sz w:val="15"/>
                <w:szCs w:val="15"/>
              </w:rPr>
              <w:t>6650</w:t>
            </w:r>
          </w:p>
        </w:tc>
        <w:tc>
          <w:tcPr>
            <w:tcW w:w="1276" w:type="dxa"/>
            <w:tcBorders>
              <w:top w:val="nil"/>
              <w:left w:val="nil"/>
              <w:bottom w:val="single" w:sz="4" w:space="0" w:color="auto"/>
              <w:right w:val="nil"/>
            </w:tcBorders>
            <w:shd w:val="clear" w:color="auto" w:fill="auto"/>
            <w:vAlign w:val="center"/>
            <w:hideMark/>
          </w:tcPr>
          <w:p w14:paraId="7311A0E0" w14:textId="77777777" w:rsidR="00D33661" w:rsidRPr="00D33661" w:rsidRDefault="00D33661" w:rsidP="00D33661">
            <w:pPr>
              <w:jc w:val="center"/>
              <w:rPr>
                <w:b/>
                <w:bCs/>
                <w:color w:val="000000"/>
                <w:sz w:val="15"/>
                <w:szCs w:val="15"/>
              </w:rPr>
            </w:pPr>
            <w:r w:rsidRPr="00D33661">
              <w:rPr>
                <w:b/>
                <w:bCs/>
                <w:color w:val="000000"/>
                <w:sz w:val="15"/>
                <w:szCs w:val="15"/>
              </w:rPr>
              <w:t>1.38 (1.18, 1.60)</w:t>
            </w:r>
          </w:p>
        </w:tc>
        <w:tc>
          <w:tcPr>
            <w:tcW w:w="591" w:type="dxa"/>
            <w:tcBorders>
              <w:top w:val="nil"/>
              <w:left w:val="nil"/>
              <w:bottom w:val="single" w:sz="4" w:space="0" w:color="auto"/>
              <w:right w:val="nil"/>
            </w:tcBorders>
            <w:shd w:val="clear" w:color="auto" w:fill="auto"/>
            <w:vAlign w:val="center"/>
            <w:hideMark/>
          </w:tcPr>
          <w:p w14:paraId="0655A07F" w14:textId="77777777" w:rsidR="00D33661" w:rsidRPr="00D33661" w:rsidRDefault="00D33661" w:rsidP="00D33661">
            <w:pPr>
              <w:jc w:val="center"/>
              <w:rPr>
                <w:color w:val="000000"/>
                <w:sz w:val="15"/>
                <w:szCs w:val="15"/>
              </w:rPr>
            </w:pPr>
            <w:r w:rsidRPr="00D33661">
              <w:rPr>
                <w:color w:val="000000"/>
                <w:sz w:val="15"/>
                <w:szCs w:val="15"/>
              </w:rPr>
              <w:t>10634</w:t>
            </w:r>
          </w:p>
        </w:tc>
        <w:tc>
          <w:tcPr>
            <w:tcW w:w="1495" w:type="dxa"/>
            <w:tcBorders>
              <w:top w:val="nil"/>
              <w:left w:val="nil"/>
              <w:bottom w:val="single" w:sz="4" w:space="0" w:color="auto"/>
              <w:right w:val="nil"/>
            </w:tcBorders>
            <w:shd w:val="clear" w:color="auto" w:fill="auto"/>
            <w:noWrap/>
            <w:vAlign w:val="center"/>
            <w:hideMark/>
          </w:tcPr>
          <w:p w14:paraId="1DFAEA00" w14:textId="613605E8" w:rsidR="00D33661" w:rsidRPr="001B64F1" w:rsidRDefault="00D33661" w:rsidP="00D33661">
            <w:pPr>
              <w:jc w:val="center"/>
              <w:rPr>
                <w:rFonts w:ascii="Times Roman" w:hAnsi="Times Roman"/>
                <w:b/>
                <w:bCs/>
                <w:color w:val="000000"/>
                <w:sz w:val="15"/>
                <w:szCs w:val="15"/>
              </w:rPr>
            </w:pPr>
            <w:r w:rsidRPr="001B64F1">
              <w:rPr>
                <w:rFonts w:ascii="Times Roman" w:hAnsi="Times Roman"/>
                <w:b/>
                <w:bCs/>
                <w:color w:val="000000"/>
                <w:sz w:val="15"/>
                <w:szCs w:val="15"/>
              </w:rPr>
              <w:t>1.17 (</w:t>
            </w:r>
            <w:r w:rsidR="001B64F1" w:rsidRPr="001B64F1">
              <w:rPr>
                <w:rFonts w:ascii="Times Roman" w:hAnsi="Times Roman"/>
                <w:b/>
                <w:bCs/>
                <w:color w:val="000000"/>
                <w:sz w:val="15"/>
                <w:szCs w:val="15"/>
              </w:rPr>
              <w:t>1</w:t>
            </w:r>
            <w:r w:rsidRPr="001B64F1">
              <w:rPr>
                <w:rFonts w:ascii="Times Roman" w:hAnsi="Times Roman"/>
                <w:b/>
                <w:bCs/>
                <w:color w:val="000000"/>
                <w:sz w:val="15"/>
                <w:szCs w:val="15"/>
              </w:rPr>
              <w:t>.02, 1.34)</w:t>
            </w:r>
          </w:p>
        </w:tc>
        <w:tc>
          <w:tcPr>
            <w:tcW w:w="516" w:type="dxa"/>
            <w:tcBorders>
              <w:top w:val="nil"/>
              <w:left w:val="nil"/>
              <w:bottom w:val="single" w:sz="4" w:space="0" w:color="auto"/>
              <w:right w:val="nil"/>
            </w:tcBorders>
            <w:shd w:val="clear" w:color="auto" w:fill="auto"/>
            <w:vAlign w:val="center"/>
            <w:hideMark/>
          </w:tcPr>
          <w:p w14:paraId="3DEFCEE0" w14:textId="77777777" w:rsidR="00D33661" w:rsidRPr="00D33661" w:rsidRDefault="00D33661" w:rsidP="00D33661">
            <w:pPr>
              <w:jc w:val="center"/>
              <w:rPr>
                <w:color w:val="000000"/>
                <w:sz w:val="15"/>
                <w:szCs w:val="15"/>
              </w:rPr>
            </w:pPr>
            <w:r w:rsidRPr="00D33661">
              <w:rPr>
                <w:color w:val="000000"/>
                <w:sz w:val="15"/>
                <w:szCs w:val="15"/>
              </w:rPr>
              <w:t>553</w:t>
            </w:r>
          </w:p>
        </w:tc>
        <w:tc>
          <w:tcPr>
            <w:tcW w:w="1728" w:type="dxa"/>
            <w:tcBorders>
              <w:top w:val="nil"/>
              <w:left w:val="nil"/>
              <w:bottom w:val="single" w:sz="4" w:space="0" w:color="auto"/>
              <w:right w:val="single" w:sz="4" w:space="0" w:color="auto"/>
            </w:tcBorders>
            <w:shd w:val="clear" w:color="auto" w:fill="auto"/>
            <w:vAlign w:val="center"/>
            <w:hideMark/>
          </w:tcPr>
          <w:p w14:paraId="33E04F27" w14:textId="77777777" w:rsidR="00D33661" w:rsidRPr="00D33661" w:rsidRDefault="00D33661" w:rsidP="00D33661">
            <w:pPr>
              <w:jc w:val="center"/>
              <w:rPr>
                <w:color w:val="000000"/>
                <w:sz w:val="15"/>
                <w:szCs w:val="15"/>
              </w:rPr>
            </w:pPr>
            <w:r w:rsidRPr="00D33661">
              <w:rPr>
                <w:color w:val="000000"/>
                <w:sz w:val="15"/>
                <w:szCs w:val="15"/>
              </w:rPr>
              <w:t>1.10 (0.95, 1.27)</w:t>
            </w:r>
          </w:p>
        </w:tc>
      </w:tr>
      <w:tr w:rsidR="00D33661" w:rsidRPr="00D33661" w14:paraId="1B633917" w14:textId="77777777" w:rsidTr="00D33661">
        <w:trPr>
          <w:trHeight w:val="680"/>
        </w:trPr>
        <w:tc>
          <w:tcPr>
            <w:tcW w:w="1289" w:type="dxa"/>
            <w:tcBorders>
              <w:top w:val="nil"/>
              <w:left w:val="single" w:sz="4" w:space="0" w:color="auto"/>
              <w:bottom w:val="single" w:sz="4" w:space="0" w:color="auto"/>
              <w:right w:val="nil"/>
            </w:tcBorders>
            <w:shd w:val="clear" w:color="auto" w:fill="auto"/>
            <w:vAlign w:val="center"/>
            <w:hideMark/>
          </w:tcPr>
          <w:p w14:paraId="7B3F4BB8" w14:textId="77777777" w:rsidR="00D33661" w:rsidRPr="00D33661" w:rsidRDefault="00D33661" w:rsidP="00D33661">
            <w:pPr>
              <w:rPr>
                <w:rFonts w:ascii="Times" w:hAnsi="Times"/>
                <w:color w:val="000000"/>
                <w:sz w:val="17"/>
                <w:szCs w:val="17"/>
              </w:rPr>
            </w:pPr>
            <w:r w:rsidRPr="00D33661">
              <w:rPr>
                <w:rFonts w:ascii="Times" w:hAnsi="Times"/>
                <w:color w:val="000000"/>
                <w:sz w:val="17"/>
                <w:szCs w:val="17"/>
              </w:rPr>
              <w:t>NH Black/ African American</w:t>
            </w:r>
          </w:p>
        </w:tc>
        <w:tc>
          <w:tcPr>
            <w:tcW w:w="696" w:type="dxa"/>
            <w:tcBorders>
              <w:top w:val="nil"/>
              <w:left w:val="nil"/>
              <w:bottom w:val="single" w:sz="4" w:space="0" w:color="auto"/>
              <w:right w:val="nil"/>
            </w:tcBorders>
            <w:shd w:val="clear" w:color="auto" w:fill="auto"/>
            <w:vAlign w:val="center"/>
            <w:hideMark/>
          </w:tcPr>
          <w:p w14:paraId="4648BF64" w14:textId="77777777" w:rsidR="00D33661" w:rsidRPr="00D33661" w:rsidRDefault="00D33661" w:rsidP="00D33661">
            <w:pPr>
              <w:jc w:val="center"/>
              <w:rPr>
                <w:color w:val="000000"/>
                <w:sz w:val="15"/>
                <w:szCs w:val="15"/>
              </w:rPr>
            </w:pPr>
            <w:r w:rsidRPr="00D33661">
              <w:rPr>
                <w:color w:val="000000"/>
                <w:sz w:val="15"/>
                <w:szCs w:val="15"/>
              </w:rPr>
              <w:t>3298</w:t>
            </w:r>
          </w:p>
        </w:tc>
        <w:tc>
          <w:tcPr>
            <w:tcW w:w="1250" w:type="dxa"/>
            <w:tcBorders>
              <w:top w:val="nil"/>
              <w:left w:val="nil"/>
              <w:bottom w:val="single" w:sz="4" w:space="0" w:color="auto"/>
              <w:right w:val="nil"/>
            </w:tcBorders>
            <w:shd w:val="clear" w:color="auto" w:fill="auto"/>
            <w:vAlign w:val="center"/>
            <w:hideMark/>
          </w:tcPr>
          <w:p w14:paraId="6FE32861" w14:textId="77777777" w:rsidR="00D33661" w:rsidRPr="00D33661" w:rsidRDefault="00D33661" w:rsidP="00D33661">
            <w:pPr>
              <w:jc w:val="center"/>
              <w:rPr>
                <w:rFonts w:ascii="Times" w:hAnsi="Times"/>
                <w:b/>
                <w:bCs/>
                <w:color w:val="000000"/>
                <w:sz w:val="15"/>
                <w:szCs w:val="15"/>
              </w:rPr>
            </w:pPr>
            <w:r w:rsidRPr="00D33661">
              <w:rPr>
                <w:rFonts w:ascii="Times" w:hAnsi="Times"/>
                <w:b/>
                <w:bCs/>
                <w:color w:val="000000"/>
                <w:sz w:val="15"/>
                <w:szCs w:val="15"/>
              </w:rPr>
              <w:t>1.63 (1.41, 1.88)</w:t>
            </w:r>
          </w:p>
        </w:tc>
        <w:tc>
          <w:tcPr>
            <w:tcW w:w="603" w:type="dxa"/>
            <w:tcBorders>
              <w:top w:val="nil"/>
              <w:left w:val="nil"/>
              <w:bottom w:val="single" w:sz="4" w:space="0" w:color="auto"/>
              <w:right w:val="nil"/>
            </w:tcBorders>
            <w:shd w:val="clear" w:color="auto" w:fill="auto"/>
            <w:vAlign w:val="center"/>
            <w:hideMark/>
          </w:tcPr>
          <w:p w14:paraId="78911542" w14:textId="77777777" w:rsidR="00D33661" w:rsidRPr="00D33661" w:rsidRDefault="00D33661" w:rsidP="00D33661">
            <w:pPr>
              <w:jc w:val="center"/>
              <w:rPr>
                <w:rFonts w:ascii="Times" w:hAnsi="Times"/>
                <w:color w:val="000000"/>
                <w:sz w:val="15"/>
                <w:szCs w:val="15"/>
              </w:rPr>
            </w:pPr>
            <w:r w:rsidRPr="00D33661">
              <w:rPr>
                <w:rFonts w:ascii="Times" w:hAnsi="Times"/>
                <w:color w:val="000000"/>
                <w:sz w:val="15"/>
                <w:szCs w:val="15"/>
              </w:rPr>
              <w:t>1327</w:t>
            </w:r>
          </w:p>
        </w:tc>
        <w:tc>
          <w:tcPr>
            <w:tcW w:w="1287" w:type="dxa"/>
            <w:tcBorders>
              <w:top w:val="nil"/>
              <w:left w:val="nil"/>
              <w:bottom w:val="single" w:sz="4" w:space="0" w:color="auto"/>
              <w:right w:val="nil"/>
            </w:tcBorders>
            <w:shd w:val="clear" w:color="auto" w:fill="auto"/>
            <w:vAlign w:val="center"/>
            <w:hideMark/>
          </w:tcPr>
          <w:p w14:paraId="70E98746" w14:textId="77777777" w:rsidR="00D33661" w:rsidRPr="00D33661" w:rsidRDefault="00D33661" w:rsidP="00D33661">
            <w:pPr>
              <w:jc w:val="center"/>
              <w:rPr>
                <w:rFonts w:ascii="Times" w:hAnsi="Times"/>
                <w:color w:val="000000"/>
                <w:sz w:val="15"/>
                <w:szCs w:val="15"/>
              </w:rPr>
            </w:pPr>
            <w:r w:rsidRPr="00D33661">
              <w:rPr>
                <w:rFonts w:ascii="Times" w:hAnsi="Times"/>
                <w:color w:val="000000"/>
                <w:sz w:val="15"/>
                <w:szCs w:val="15"/>
              </w:rPr>
              <w:t>0.96 (0.79, 1.18)</w:t>
            </w:r>
          </w:p>
        </w:tc>
        <w:tc>
          <w:tcPr>
            <w:tcW w:w="604" w:type="dxa"/>
            <w:tcBorders>
              <w:top w:val="nil"/>
              <w:left w:val="nil"/>
              <w:bottom w:val="single" w:sz="4" w:space="0" w:color="auto"/>
              <w:right w:val="nil"/>
            </w:tcBorders>
            <w:shd w:val="clear" w:color="auto" w:fill="auto"/>
            <w:vAlign w:val="center"/>
            <w:hideMark/>
          </w:tcPr>
          <w:p w14:paraId="49F783D6" w14:textId="77777777" w:rsidR="00D33661" w:rsidRPr="00D33661" w:rsidRDefault="00D33661" w:rsidP="00D33661">
            <w:pPr>
              <w:jc w:val="center"/>
              <w:rPr>
                <w:color w:val="000000"/>
                <w:sz w:val="15"/>
                <w:szCs w:val="15"/>
              </w:rPr>
            </w:pPr>
            <w:r w:rsidRPr="00D33661">
              <w:rPr>
                <w:color w:val="000000"/>
                <w:sz w:val="15"/>
                <w:szCs w:val="15"/>
              </w:rPr>
              <w:t>2009</w:t>
            </w:r>
          </w:p>
        </w:tc>
        <w:tc>
          <w:tcPr>
            <w:tcW w:w="1276" w:type="dxa"/>
            <w:tcBorders>
              <w:top w:val="nil"/>
              <w:left w:val="nil"/>
              <w:bottom w:val="single" w:sz="4" w:space="0" w:color="auto"/>
              <w:right w:val="nil"/>
            </w:tcBorders>
            <w:shd w:val="clear" w:color="auto" w:fill="auto"/>
            <w:vAlign w:val="center"/>
            <w:hideMark/>
          </w:tcPr>
          <w:p w14:paraId="378988E0" w14:textId="77777777" w:rsidR="00D33661" w:rsidRPr="00D33661" w:rsidRDefault="00D33661" w:rsidP="00D33661">
            <w:pPr>
              <w:jc w:val="center"/>
              <w:rPr>
                <w:color w:val="000000"/>
                <w:sz w:val="15"/>
                <w:szCs w:val="15"/>
              </w:rPr>
            </w:pPr>
            <w:r w:rsidRPr="00D33661">
              <w:rPr>
                <w:color w:val="000000"/>
                <w:sz w:val="15"/>
                <w:szCs w:val="15"/>
              </w:rPr>
              <w:t>0.93 (0.67, 1.29)</w:t>
            </w:r>
          </w:p>
        </w:tc>
        <w:tc>
          <w:tcPr>
            <w:tcW w:w="591" w:type="dxa"/>
            <w:tcBorders>
              <w:top w:val="nil"/>
              <w:left w:val="nil"/>
              <w:bottom w:val="single" w:sz="4" w:space="0" w:color="auto"/>
              <w:right w:val="nil"/>
            </w:tcBorders>
            <w:shd w:val="clear" w:color="auto" w:fill="auto"/>
            <w:vAlign w:val="center"/>
            <w:hideMark/>
          </w:tcPr>
          <w:p w14:paraId="3254D4F0" w14:textId="77777777" w:rsidR="00D33661" w:rsidRPr="00D33661" w:rsidRDefault="00D33661" w:rsidP="00D33661">
            <w:pPr>
              <w:jc w:val="center"/>
              <w:rPr>
                <w:color w:val="000000"/>
                <w:sz w:val="15"/>
                <w:szCs w:val="15"/>
              </w:rPr>
            </w:pPr>
            <w:r w:rsidRPr="00D33661">
              <w:rPr>
                <w:color w:val="000000"/>
                <w:sz w:val="15"/>
                <w:szCs w:val="15"/>
              </w:rPr>
              <w:t>3298</w:t>
            </w:r>
          </w:p>
        </w:tc>
        <w:tc>
          <w:tcPr>
            <w:tcW w:w="1495" w:type="dxa"/>
            <w:tcBorders>
              <w:top w:val="nil"/>
              <w:left w:val="nil"/>
              <w:bottom w:val="single" w:sz="4" w:space="0" w:color="auto"/>
              <w:right w:val="nil"/>
            </w:tcBorders>
            <w:shd w:val="clear" w:color="auto" w:fill="auto"/>
            <w:noWrap/>
            <w:vAlign w:val="center"/>
            <w:hideMark/>
          </w:tcPr>
          <w:p w14:paraId="7B79D3AD" w14:textId="77777777" w:rsidR="00D33661" w:rsidRPr="00D33661" w:rsidRDefault="00D33661" w:rsidP="00D33661">
            <w:pPr>
              <w:jc w:val="center"/>
              <w:rPr>
                <w:rFonts w:ascii="Times Roman" w:hAnsi="Times Roman"/>
                <w:color w:val="000000"/>
                <w:sz w:val="15"/>
                <w:szCs w:val="15"/>
              </w:rPr>
            </w:pPr>
            <w:r w:rsidRPr="00D33661">
              <w:rPr>
                <w:rFonts w:ascii="Times Roman" w:hAnsi="Times Roman"/>
                <w:color w:val="000000"/>
                <w:sz w:val="15"/>
                <w:szCs w:val="15"/>
              </w:rPr>
              <w:t>1.08 (0.86, 1.37)</w:t>
            </w:r>
          </w:p>
        </w:tc>
        <w:tc>
          <w:tcPr>
            <w:tcW w:w="516" w:type="dxa"/>
            <w:tcBorders>
              <w:top w:val="nil"/>
              <w:left w:val="nil"/>
              <w:bottom w:val="single" w:sz="4" w:space="0" w:color="auto"/>
              <w:right w:val="nil"/>
            </w:tcBorders>
            <w:shd w:val="clear" w:color="auto" w:fill="auto"/>
            <w:vAlign w:val="center"/>
            <w:hideMark/>
          </w:tcPr>
          <w:p w14:paraId="0BBA818C" w14:textId="77777777" w:rsidR="00D33661" w:rsidRPr="00D33661" w:rsidRDefault="00D33661" w:rsidP="00D33661">
            <w:pPr>
              <w:jc w:val="center"/>
              <w:rPr>
                <w:color w:val="000000"/>
                <w:sz w:val="15"/>
                <w:szCs w:val="15"/>
              </w:rPr>
            </w:pPr>
            <w:r w:rsidRPr="00D33661">
              <w:rPr>
                <w:color w:val="000000"/>
                <w:sz w:val="15"/>
                <w:szCs w:val="15"/>
              </w:rPr>
              <w:t>211</w:t>
            </w:r>
          </w:p>
        </w:tc>
        <w:tc>
          <w:tcPr>
            <w:tcW w:w="1728" w:type="dxa"/>
            <w:tcBorders>
              <w:top w:val="nil"/>
              <w:left w:val="nil"/>
              <w:bottom w:val="single" w:sz="4" w:space="0" w:color="auto"/>
              <w:right w:val="single" w:sz="4" w:space="0" w:color="auto"/>
            </w:tcBorders>
            <w:shd w:val="clear" w:color="auto" w:fill="auto"/>
            <w:vAlign w:val="center"/>
            <w:hideMark/>
          </w:tcPr>
          <w:p w14:paraId="0D088857" w14:textId="77777777" w:rsidR="00D33661" w:rsidRPr="00D33661" w:rsidRDefault="00D33661" w:rsidP="00D33661">
            <w:pPr>
              <w:jc w:val="center"/>
              <w:rPr>
                <w:color w:val="000000"/>
                <w:sz w:val="15"/>
                <w:szCs w:val="15"/>
              </w:rPr>
            </w:pPr>
            <w:r w:rsidRPr="00D33661">
              <w:rPr>
                <w:color w:val="000000"/>
                <w:sz w:val="15"/>
                <w:szCs w:val="15"/>
              </w:rPr>
              <w:t>1.12 (0.90, 1.37)</w:t>
            </w:r>
          </w:p>
        </w:tc>
      </w:tr>
      <w:tr w:rsidR="00D33661" w:rsidRPr="00D33661" w14:paraId="29AB939D" w14:textId="77777777" w:rsidTr="00D33661">
        <w:trPr>
          <w:trHeight w:val="680"/>
        </w:trPr>
        <w:tc>
          <w:tcPr>
            <w:tcW w:w="1289" w:type="dxa"/>
            <w:tcBorders>
              <w:top w:val="nil"/>
              <w:left w:val="single" w:sz="4" w:space="0" w:color="auto"/>
              <w:bottom w:val="single" w:sz="4" w:space="0" w:color="auto"/>
              <w:right w:val="nil"/>
            </w:tcBorders>
            <w:shd w:val="clear" w:color="auto" w:fill="auto"/>
            <w:vAlign w:val="center"/>
            <w:hideMark/>
          </w:tcPr>
          <w:p w14:paraId="4891E5C5" w14:textId="77777777" w:rsidR="00D33661" w:rsidRPr="00D33661" w:rsidRDefault="00D33661" w:rsidP="00D33661">
            <w:pPr>
              <w:rPr>
                <w:rFonts w:ascii="Times" w:hAnsi="Times"/>
                <w:color w:val="000000"/>
                <w:sz w:val="17"/>
                <w:szCs w:val="17"/>
              </w:rPr>
            </w:pPr>
            <w:r w:rsidRPr="00D33661">
              <w:rPr>
                <w:rFonts w:ascii="Times" w:hAnsi="Times"/>
                <w:color w:val="000000"/>
                <w:sz w:val="17"/>
                <w:szCs w:val="17"/>
              </w:rPr>
              <w:t>NH Hawaiian/ Pacific Islander</w:t>
            </w:r>
          </w:p>
        </w:tc>
        <w:tc>
          <w:tcPr>
            <w:tcW w:w="696" w:type="dxa"/>
            <w:tcBorders>
              <w:top w:val="nil"/>
              <w:left w:val="nil"/>
              <w:bottom w:val="single" w:sz="4" w:space="0" w:color="auto"/>
              <w:right w:val="nil"/>
            </w:tcBorders>
            <w:shd w:val="clear" w:color="auto" w:fill="auto"/>
            <w:vAlign w:val="center"/>
            <w:hideMark/>
          </w:tcPr>
          <w:p w14:paraId="20289C2C" w14:textId="77777777" w:rsidR="00D33661" w:rsidRPr="00D33661" w:rsidRDefault="00D33661" w:rsidP="00D33661">
            <w:pPr>
              <w:jc w:val="center"/>
              <w:rPr>
                <w:color w:val="000000"/>
                <w:sz w:val="15"/>
                <w:szCs w:val="15"/>
              </w:rPr>
            </w:pPr>
            <w:r w:rsidRPr="00D33661">
              <w:rPr>
                <w:color w:val="000000"/>
                <w:sz w:val="15"/>
                <w:szCs w:val="15"/>
              </w:rPr>
              <w:t>991</w:t>
            </w:r>
          </w:p>
        </w:tc>
        <w:tc>
          <w:tcPr>
            <w:tcW w:w="1250" w:type="dxa"/>
            <w:tcBorders>
              <w:top w:val="nil"/>
              <w:left w:val="nil"/>
              <w:bottom w:val="single" w:sz="4" w:space="0" w:color="auto"/>
              <w:right w:val="nil"/>
            </w:tcBorders>
            <w:shd w:val="clear" w:color="auto" w:fill="auto"/>
            <w:vAlign w:val="center"/>
            <w:hideMark/>
          </w:tcPr>
          <w:p w14:paraId="50FC0326" w14:textId="77777777" w:rsidR="00D33661" w:rsidRPr="00D33661" w:rsidRDefault="00D33661" w:rsidP="00D33661">
            <w:pPr>
              <w:jc w:val="center"/>
              <w:rPr>
                <w:rFonts w:ascii="Times" w:hAnsi="Times"/>
                <w:b/>
                <w:bCs/>
                <w:color w:val="000000"/>
                <w:sz w:val="15"/>
                <w:szCs w:val="15"/>
              </w:rPr>
            </w:pPr>
            <w:r w:rsidRPr="00D33661">
              <w:rPr>
                <w:rFonts w:ascii="Times" w:hAnsi="Times"/>
                <w:b/>
                <w:bCs/>
                <w:color w:val="000000"/>
                <w:sz w:val="15"/>
                <w:szCs w:val="15"/>
              </w:rPr>
              <w:t>2.66 (2.16, 3.26)</w:t>
            </w:r>
          </w:p>
        </w:tc>
        <w:tc>
          <w:tcPr>
            <w:tcW w:w="603" w:type="dxa"/>
            <w:tcBorders>
              <w:top w:val="nil"/>
              <w:left w:val="nil"/>
              <w:bottom w:val="single" w:sz="4" w:space="0" w:color="auto"/>
              <w:right w:val="nil"/>
            </w:tcBorders>
            <w:shd w:val="clear" w:color="auto" w:fill="auto"/>
            <w:vAlign w:val="center"/>
            <w:hideMark/>
          </w:tcPr>
          <w:p w14:paraId="6F11A75D" w14:textId="77777777" w:rsidR="00D33661" w:rsidRPr="00D33661" w:rsidRDefault="00D33661" w:rsidP="00D33661">
            <w:pPr>
              <w:jc w:val="center"/>
              <w:rPr>
                <w:rFonts w:ascii="Times" w:hAnsi="Times"/>
                <w:color w:val="000000"/>
                <w:sz w:val="15"/>
                <w:szCs w:val="15"/>
              </w:rPr>
            </w:pPr>
            <w:r w:rsidRPr="00D33661">
              <w:rPr>
                <w:rFonts w:ascii="Times" w:hAnsi="Times"/>
                <w:color w:val="000000"/>
                <w:sz w:val="15"/>
                <w:szCs w:val="15"/>
              </w:rPr>
              <w:t>473</w:t>
            </w:r>
          </w:p>
        </w:tc>
        <w:tc>
          <w:tcPr>
            <w:tcW w:w="1287" w:type="dxa"/>
            <w:tcBorders>
              <w:top w:val="nil"/>
              <w:left w:val="nil"/>
              <w:bottom w:val="single" w:sz="4" w:space="0" w:color="auto"/>
              <w:right w:val="nil"/>
            </w:tcBorders>
            <w:shd w:val="clear" w:color="auto" w:fill="auto"/>
            <w:vAlign w:val="center"/>
            <w:hideMark/>
          </w:tcPr>
          <w:p w14:paraId="134E7D78" w14:textId="77777777" w:rsidR="00D33661" w:rsidRPr="00D33661" w:rsidRDefault="00D33661" w:rsidP="00D33661">
            <w:pPr>
              <w:jc w:val="center"/>
              <w:rPr>
                <w:rFonts w:ascii="Times" w:hAnsi="Times"/>
                <w:color w:val="000000"/>
                <w:sz w:val="15"/>
                <w:szCs w:val="15"/>
              </w:rPr>
            </w:pPr>
            <w:r w:rsidRPr="00D33661">
              <w:rPr>
                <w:rFonts w:ascii="Times" w:hAnsi="Times"/>
                <w:color w:val="000000"/>
                <w:sz w:val="15"/>
                <w:szCs w:val="15"/>
              </w:rPr>
              <w:t>0.72 (0.39, 1.34)</w:t>
            </w:r>
          </w:p>
        </w:tc>
        <w:tc>
          <w:tcPr>
            <w:tcW w:w="604" w:type="dxa"/>
            <w:tcBorders>
              <w:top w:val="nil"/>
              <w:left w:val="nil"/>
              <w:bottom w:val="single" w:sz="4" w:space="0" w:color="auto"/>
              <w:right w:val="nil"/>
            </w:tcBorders>
            <w:shd w:val="clear" w:color="auto" w:fill="auto"/>
            <w:vAlign w:val="center"/>
            <w:hideMark/>
          </w:tcPr>
          <w:p w14:paraId="4530209C" w14:textId="77777777" w:rsidR="00D33661" w:rsidRPr="00D33661" w:rsidRDefault="00D33661" w:rsidP="00D33661">
            <w:pPr>
              <w:jc w:val="center"/>
              <w:rPr>
                <w:color w:val="000000"/>
                <w:sz w:val="15"/>
                <w:szCs w:val="15"/>
              </w:rPr>
            </w:pPr>
            <w:r w:rsidRPr="00D33661">
              <w:rPr>
                <w:color w:val="000000"/>
                <w:sz w:val="15"/>
                <w:szCs w:val="15"/>
              </w:rPr>
              <w:t>639</w:t>
            </w:r>
          </w:p>
        </w:tc>
        <w:tc>
          <w:tcPr>
            <w:tcW w:w="1276" w:type="dxa"/>
            <w:tcBorders>
              <w:top w:val="nil"/>
              <w:left w:val="nil"/>
              <w:bottom w:val="single" w:sz="4" w:space="0" w:color="auto"/>
              <w:right w:val="nil"/>
            </w:tcBorders>
            <w:shd w:val="clear" w:color="auto" w:fill="auto"/>
            <w:vAlign w:val="center"/>
            <w:hideMark/>
          </w:tcPr>
          <w:p w14:paraId="625FED77" w14:textId="77777777" w:rsidR="00D33661" w:rsidRPr="00D33661" w:rsidRDefault="00D33661" w:rsidP="00D33661">
            <w:pPr>
              <w:jc w:val="center"/>
              <w:rPr>
                <w:color w:val="000000"/>
                <w:sz w:val="15"/>
                <w:szCs w:val="15"/>
              </w:rPr>
            </w:pPr>
            <w:r w:rsidRPr="00D33661">
              <w:rPr>
                <w:color w:val="000000"/>
                <w:sz w:val="15"/>
                <w:szCs w:val="15"/>
              </w:rPr>
              <w:t>0.85 (0.47, 1.55)</w:t>
            </w:r>
          </w:p>
        </w:tc>
        <w:tc>
          <w:tcPr>
            <w:tcW w:w="591" w:type="dxa"/>
            <w:tcBorders>
              <w:top w:val="nil"/>
              <w:left w:val="nil"/>
              <w:bottom w:val="single" w:sz="4" w:space="0" w:color="auto"/>
              <w:right w:val="nil"/>
            </w:tcBorders>
            <w:shd w:val="clear" w:color="auto" w:fill="auto"/>
            <w:vAlign w:val="center"/>
            <w:hideMark/>
          </w:tcPr>
          <w:p w14:paraId="1525E48C" w14:textId="77777777" w:rsidR="00D33661" w:rsidRPr="00D33661" w:rsidRDefault="00D33661" w:rsidP="00D33661">
            <w:pPr>
              <w:jc w:val="center"/>
              <w:rPr>
                <w:color w:val="000000"/>
                <w:sz w:val="15"/>
                <w:szCs w:val="15"/>
              </w:rPr>
            </w:pPr>
            <w:r w:rsidRPr="00D33661">
              <w:rPr>
                <w:color w:val="000000"/>
                <w:sz w:val="15"/>
                <w:szCs w:val="15"/>
              </w:rPr>
              <w:t>991</w:t>
            </w:r>
          </w:p>
        </w:tc>
        <w:tc>
          <w:tcPr>
            <w:tcW w:w="1495" w:type="dxa"/>
            <w:tcBorders>
              <w:top w:val="nil"/>
              <w:left w:val="nil"/>
              <w:bottom w:val="single" w:sz="4" w:space="0" w:color="auto"/>
              <w:right w:val="nil"/>
            </w:tcBorders>
            <w:shd w:val="clear" w:color="auto" w:fill="auto"/>
            <w:noWrap/>
            <w:vAlign w:val="center"/>
            <w:hideMark/>
          </w:tcPr>
          <w:p w14:paraId="69BD7B11" w14:textId="77777777" w:rsidR="00D33661" w:rsidRPr="00D33661" w:rsidRDefault="00D33661" w:rsidP="00D33661">
            <w:pPr>
              <w:jc w:val="center"/>
              <w:rPr>
                <w:rFonts w:ascii="Times Roman" w:hAnsi="Times Roman"/>
                <w:color w:val="000000"/>
                <w:sz w:val="15"/>
                <w:szCs w:val="15"/>
              </w:rPr>
            </w:pPr>
            <w:r w:rsidRPr="00D33661">
              <w:rPr>
                <w:rFonts w:ascii="Times Roman" w:hAnsi="Times Roman"/>
                <w:color w:val="000000"/>
                <w:sz w:val="15"/>
                <w:szCs w:val="15"/>
              </w:rPr>
              <w:t>0.81 (0.42, 1.57)</w:t>
            </w:r>
          </w:p>
        </w:tc>
        <w:tc>
          <w:tcPr>
            <w:tcW w:w="516" w:type="dxa"/>
            <w:tcBorders>
              <w:top w:val="nil"/>
              <w:left w:val="nil"/>
              <w:bottom w:val="single" w:sz="4" w:space="0" w:color="auto"/>
              <w:right w:val="nil"/>
            </w:tcBorders>
            <w:shd w:val="clear" w:color="auto" w:fill="auto"/>
            <w:vAlign w:val="center"/>
            <w:hideMark/>
          </w:tcPr>
          <w:p w14:paraId="25271B76" w14:textId="77777777" w:rsidR="00D33661" w:rsidRPr="00D33661" w:rsidRDefault="00D33661" w:rsidP="00D33661">
            <w:pPr>
              <w:jc w:val="center"/>
              <w:rPr>
                <w:color w:val="000000"/>
                <w:sz w:val="15"/>
                <w:szCs w:val="15"/>
              </w:rPr>
            </w:pPr>
            <w:r w:rsidRPr="00D33661">
              <w:rPr>
                <w:color w:val="000000"/>
                <w:sz w:val="15"/>
                <w:szCs w:val="15"/>
              </w:rPr>
              <w:t>68</w:t>
            </w:r>
          </w:p>
        </w:tc>
        <w:tc>
          <w:tcPr>
            <w:tcW w:w="1728" w:type="dxa"/>
            <w:tcBorders>
              <w:top w:val="nil"/>
              <w:left w:val="nil"/>
              <w:bottom w:val="single" w:sz="4" w:space="0" w:color="auto"/>
              <w:right w:val="single" w:sz="4" w:space="0" w:color="auto"/>
            </w:tcBorders>
            <w:shd w:val="clear" w:color="auto" w:fill="auto"/>
            <w:vAlign w:val="center"/>
            <w:hideMark/>
          </w:tcPr>
          <w:p w14:paraId="68554100" w14:textId="77777777" w:rsidR="00D33661" w:rsidRPr="00D33661" w:rsidRDefault="00D33661" w:rsidP="00D33661">
            <w:pPr>
              <w:jc w:val="center"/>
              <w:rPr>
                <w:color w:val="000000"/>
                <w:sz w:val="15"/>
                <w:szCs w:val="15"/>
              </w:rPr>
            </w:pPr>
            <w:r w:rsidRPr="00D33661">
              <w:rPr>
                <w:color w:val="000000"/>
                <w:sz w:val="15"/>
                <w:szCs w:val="15"/>
              </w:rPr>
              <w:t>-</w:t>
            </w:r>
          </w:p>
        </w:tc>
      </w:tr>
      <w:tr w:rsidR="00D33661" w:rsidRPr="00D33661" w14:paraId="4BE40ACF" w14:textId="77777777" w:rsidTr="00D33661">
        <w:trPr>
          <w:trHeight w:val="680"/>
        </w:trPr>
        <w:tc>
          <w:tcPr>
            <w:tcW w:w="1289" w:type="dxa"/>
            <w:tcBorders>
              <w:top w:val="nil"/>
              <w:left w:val="single" w:sz="4" w:space="0" w:color="auto"/>
              <w:bottom w:val="single" w:sz="4" w:space="0" w:color="auto"/>
              <w:right w:val="nil"/>
            </w:tcBorders>
            <w:shd w:val="clear" w:color="auto" w:fill="auto"/>
            <w:vAlign w:val="center"/>
            <w:hideMark/>
          </w:tcPr>
          <w:p w14:paraId="364AB61E" w14:textId="77777777" w:rsidR="00D33661" w:rsidRPr="00D33661" w:rsidRDefault="00D33661" w:rsidP="00D33661">
            <w:pPr>
              <w:rPr>
                <w:rFonts w:ascii="Times" w:hAnsi="Times"/>
                <w:color w:val="000000"/>
                <w:sz w:val="17"/>
                <w:szCs w:val="17"/>
              </w:rPr>
            </w:pPr>
            <w:r w:rsidRPr="00D33661">
              <w:rPr>
                <w:rFonts w:ascii="Times" w:hAnsi="Times"/>
                <w:color w:val="000000"/>
                <w:sz w:val="17"/>
                <w:szCs w:val="17"/>
              </w:rPr>
              <w:t>Hispanic/ Latinx</w:t>
            </w:r>
          </w:p>
        </w:tc>
        <w:tc>
          <w:tcPr>
            <w:tcW w:w="696" w:type="dxa"/>
            <w:tcBorders>
              <w:top w:val="nil"/>
              <w:left w:val="nil"/>
              <w:bottom w:val="single" w:sz="4" w:space="0" w:color="auto"/>
              <w:right w:val="nil"/>
            </w:tcBorders>
            <w:shd w:val="clear" w:color="auto" w:fill="auto"/>
            <w:vAlign w:val="center"/>
            <w:hideMark/>
          </w:tcPr>
          <w:p w14:paraId="6B396CB2" w14:textId="77777777" w:rsidR="00D33661" w:rsidRPr="00D33661" w:rsidRDefault="00D33661" w:rsidP="00D33661">
            <w:pPr>
              <w:jc w:val="center"/>
              <w:rPr>
                <w:color w:val="000000"/>
                <w:sz w:val="15"/>
                <w:szCs w:val="15"/>
              </w:rPr>
            </w:pPr>
            <w:r w:rsidRPr="00D33661">
              <w:rPr>
                <w:color w:val="000000"/>
                <w:sz w:val="15"/>
                <w:szCs w:val="15"/>
              </w:rPr>
              <w:t>10034</w:t>
            </w:r>
          </w:p>
        </w:tc>
        <w:tc>
          <w:tcPr>
            <w:tcW w:w="1250" w:type="dxa"/>
            <w:tcBorders>
              <w:top w:val="nil"/>
              <w:left w:val="nil"/>
              <w:bottom w:val="single" w:sz="4" w:space="0" w:color="auto"/>
              <w:right w:val="nil"/>
            </w:tcBorders>
            <w:shd w:val="clear" w:color="auto" w:fill="auto"/>
            <w:vAlign w:val="center"/>
            <w:hideMark/>
          </w:tcPr>
          <w:p w14:paraId="150BD3AA" w14:textId="77777777" w:rsidR="00D33661" w:rsidRPr="00D33661" w:rsidRDefault="00D33661" w:rsidP="00D33661">
            <w:pPr>
              <w:jc w:val="center"/>
              <w:rPr>
                <w:rFonts w:ascii="Times" w:hAnsi="Times"/>
                <w:color w:val="000000"/>
                <w:sz w:val="15"/>
                <w:szCs w:val="15"/>
              </w:rPr>
            </w:pPr>
            <w:r w:rsidRPr="00D33661">
              <w:rPr>
                <w:rFonts w:ascii="Times" w:hAnsi="Times"/>
                <w:color w:val="000000"/>
                <w:sz w:val="15"/>
                <w:szCs w:val="15"/>
              </w:rPr>
              <w:t>0.95 (0.84, 1.09)</w:t>
            </w:r>
          </w:p>
        </w:tc>
        <w:tc>
          <w:tcPr>
            <w:tcW w:w="603" w:type="dxa"/>
            <w:tcBorders>
              <w:top w:val="nil"/>
              <w:left w:val="nil"/>
              <w:bottom w:val="single" w:sz="4" w:space="0" w:color="auto"/>
              <w:right w:val="nil"/>
            </w:tcBorders>
            <w:shd w:val="clear" w:color="auto" w:fill="auto"/>
            <w:vAlign w:val="center"/>
            <w:hideMark/>
          </w:tcPr>
          <w:p w14:paraId="01C3E2EC" w14:textId="77777777" w:rsidR="00D33661" w:rsidRPr="00D33661" w:rsidRDefault="00D33661" w:rsidP="00D33661">
            <w:pPr>
              <w:jc w:val="center"/>
              <w:rPr>
                <w:rFonts w:ascii="Times" w:hAnsi="Times"/>
                <w:color w:val="000000"/>
                <w:sz w:val="15"/>
                <w:szCs w:val="15"/>
              </w:rPr>
            </w:pPr>
            <w:r w:rsidRPr="00D33661">
              <w:rPr>
                <w:rFonts w:ascii="Times" w:hAnsi="Times"/>
                <w:color w:val="000000"/>
                <w:sz w:val="15"/>
                <w:szCs w:val="15"/>
              </w:rPr>
              <w:t>3366</w:t>
            </w:r>
          </w:p>
        </w:tc>
        <w:tc>
          <w:tcPr>
            <w:tcW w:w="1287" w:type="dxa"/>
            <w:tcBorders>
              <w:top w:val="nil"/>
              <w:left w:val="nil"/>
              <w:bottom w:val="single" w:sz="4" w:space="0" w:color="auto"/>
              <w:right w:val="nil"/>
            </w:tcBorders>
            <w:shd w:val="clear" w:color="auto" w:fill="auto"/>
            <w:vAlign w:val="center"/>
            <w:hideMark/>
          </w:tcPr>
          <w:p w14:paraId="52E53A1F" w14:textId="77777777" w:rsidR="00D33661" w:rsidRPr="00D33661" w:rsidRDefault="00D33661" w:rsidP="00D33661">
            <w:pPr>
              <w:jc w:val="center"/>
              <w:rPr>
                <w:rFonts w:ascii="Times" w:hAnsi="Times"/>
                <w:color w:val="000000"/>
                <w:sz w:val="15"/>
                <w:szCs w:val="15"/>
              </w:rPr>
            </w:pPr>
            <w:r w:rsidRPr="00D33661">
              <w:rPr>
                <w:rFonts w:ascii="Times" w:hAnsi="Times"/>
                <w:color w:val="000000"/>
                <w:sz w:val="15"/>
                <w:szCs w:val="15"/>
              </w:rPr>
              <w:t>1.02 (0.83, 1.25)</w:t>
            </w:r>
          </w:p>
        </w:tc>
        <w:tc>
          <w:tcPr>
            <w:tcW w:w="604" w:type="dxa"/>
            <w:tcBorders>
              <w:top w:val="nil"/>
              <w:left w:val="nil"/>
              <w:bottom w:val="single" w:sz="4" w:space="0" w:color="auto"/>
              <w:right w:val="nil"/>
            </w:tcBorders>
            <w:shd w:val="clear" w:color="auto" w:fill="auto"/>
            <w:vAlign w:val="center"/>
            <w:hideMark/>
          </w:tcPr>
          <w:p w14:paraId="3EF38E8E" w14:textId="77777777" w:rsidR="00D33661" w:rsidRPr="00D33661" w:rsidRDefault="00D33661" w:rsidP="00D33661">
            <w:pPr>
              <w:jc w:val="center"/>
              <w:rPr>
                <w:color w:val="000000"/>
                <w:sz w:val="15"/>
                <w:szCs w:val="15"/>
              </w:rPr>
            </w:pPr>
            <w:r w:rsidRPr="00D33661">
              <w:rPr>
                <w:color w:val="000000"/>
                <w:sz w:val="15"/>
                <w:szCs w:val="15"/>
              </w:rPr>
              <w:t>7043</w:t>
            </w:r>
          </w:p>
        </w:tc>
        <w:tc>
          <w:tcPr>
            <w:tcW w:w="1276" w:type="dxa"/>
            <w:tcBorders>
              <w:top w:val="nil"/>
              <w:left w:val="nil"/>
              <w:bottom w:val="single" w:sz="4" w:space="0" w:color="auto"/>
              <w:right w:val="nil"/>
            </w:tcBorders>
            <w:shd w:val="clear" w:color="auto" w:fill="auto"/>
            <w:vAlign w:val="center"/>
            <w:hideMark/>
          </w:tcPr>
          <w:p w14:paraId="20B0BF85" w14:textId="77777777" w:rsidR="00D33661" w:rsidRPr="00D33661" w:rsidRDefault="00D33661" w:rsidP="00D33661">
            <w:pPr>
              <w:jc w:val="center"/>
              <w:rPr>
                <w:b/>
                <w:bCs/>
                <w:color w:val="000000"/>
                <w:sz w:val="15"/>
                <w:szCs w:val="15"/>
              </w:rPr>
            </w:pPr>
            <w:r w:rsidRPr="00D33661">
              <w:rPr>
                <w:b/>
                <w:bCs/>
                <w:color w:val="000000"/>
                <w:sz w:val="15"/>
                <w:szCs w:val="15"/>
              </w:rPr>
              <w:t>0.70 (0.56, 0.87)</w:t>
            </w:r>
          </w:p>
        </w:tc>
        <w:tc>
          <w:tcPr>
            <w:tcW w:w="591" w:type="dxa"/>
            <w:tcBorders>
              <w:top w:val="nil"/>
              <w:left w:val="nil"/>
              <w:bottom w:val="single" w:sz="4" w:space="0" w:color="auto"/>
              <w:right w:val="nil"/>
            </w:tcBorders>
            <w:shd w:val="clear" w:color="auto" w:fill="auto"/>
            <w:vAlign w:val="center"/>
            <w:hideMark/>
          </w:tcPr>
          <w:p w14:paraId="37B0144E" w14:textId="77777777" w:rsidR="00D33661" w:rsidRPr="00D33661" w:rsidRDefault="00D33661" w:rsidP="00D33661">
            <w:pPr>
              <w:jc w:val="center"/>
              <w:rPr>
                <w:color w:val="000000"/>
                <w:sz w:val="15"/>
                <w:szCs w:val="15"/>
              </w:rPr>
            </w:pPr>
            <w:r w:rsidRPr="00D33661">
              <w:rPr>
                <w:color w:val="000000"/>
                <w:sz w:val="15"/>
                <w:szCs w:val="15"/>
              </w:rPr>
              <w:t>10034</w:t>
            </w:r>
          </w:p>
        </w:tc>
        <w:tc>
          <w:tcPr>
            <w:tcW w:w="1495" w:type="dxa"/>
            <w:tcBorders>
              <w:top w:val="nil"/>
              <w:left w:val="nil"/>
              <w:bottom w:val="single" w:sz="4" w:space="0" w:color="auto"/>
              <w:right w:val="nil"/>
            </w:tcBorders>
            <w:shd w:val="clear" w:color="auto" w:fill="auto"/>
            <w:noWrap/>
            <w:vAlign w:val="center"/>
            <w:hideMark/>
          </w:tcPr>
          <w:p w14:paraId="7907B6A5" w14:textId="77777777" w:rsidR="00D33661" w:rsidRPr="00D33661" w:rsidRDefault="00D33661" w:rsidP="00D33661">
            <w:pPr>
              <w:jc w:val="center"/>
              <w:rPr>
                <w:rFonts w:ascii="Times Roman" w:hAnsi="Times Roman"/>
                <w:color w:val="000000"/>
                <w:sz w:val="15"/>
                <w:szCs w:val="15"/>
              </w:rPr>
            </w:pPr>
            <w:r w:rsidRPr="00D33661">
              <w:rPr>
                <w:rFonts w:ascii="Times Roman" w:hAnsi="Times Roman"/>
                <w:color w:val="000000"/>
                <w:sz w:val="15"/>
                <w:szCs w:val="15"/>
              </w:rPr>
              <w:t>1.14 (0.95, 1.35)</w:t>
            </w:r>
          </w:p>
        </w:tc>
        <w:tc>
          <w:tcPr>
            <w:tcW w:w="516" w:type="dxa"/>
            <w:tcBorders>
              <w:top w:val="nil"/>
              <w:left w:val="nil"/>
              <w:bottom w:val="single" w:sz="4" w:space="0" w:color="auto"/>
              <w:right w:val="nil"/>
            </w:tcBorders>
            <w:shd w:val="clear" w:color="auto" w:fill="auto"/>
            <w:vAlign w:val="center"/>
            <w:hideMark/>
          </w:tcPr>
          <w:p w14:paraId="37F6CEA1" w14:textId="77777777" w:rsidR="00D33661" w:rsidRPr="00D33661" w:rsidRDefault="00D33661" w:rsidP="00D33661">
            <w:pPr>
              <w:jc w:val="center"/>
              <w:rPr>
                <w:color w:val="000000"/>
                <w:sz w:val="15"/>
                <w:szCs w:val="15"/>
              </w:rPr>
            </w:pPr>
            <w:r w:rsidRPr="00D33661">
              <w:rPr>
                <w:color w:val="000000"/>
                <w:sz w:val="15"/>
                <w:szCs w:val="15"/>
              </w:rPr>
              <w:t>618</w:t>
            </w:r>
          </w:p>
        </w:tc>
        <w:tc>
          <w:tcPr>
            <w:tcW w:w="1728" w:type="dxa"/>
            <w:tcBorders>
              <w:top w:val="nil"/>
              <w:left w:val="nil"/>
              <w:bottom w:val="single" w:sz="4" w:space="0" w:color="auto"/>
              <w:right w:val="single" w:sz="4" w:space="0" w:color="auto"/>
            </w:tcBorders>
            <w:shd w:val="clear" w:color="auto" w:fill="auto"/>
            <w:vAlign w:val="center"/>
            <w:hideMark/>
          </w:tcPr>
          <w:p w14:paraId="1261C58A" w14:textId="77777777" w:rsidR="00D33661" w:rsidRPr="00D33661" w:rsidRDefault="00D33661" w:rsidP="00D33661">
            <w:pPr>
              <w:jc w:val="center"/>
              <w:rPr>
                <w:b/>
                <w:bCs/>
                <w:color w:val="000000"/>
                <w:sz w:val="15"/>
                <w:szCs w:val="15"/>
              </w:rPr>
            </w:pPr>
            <w:r w:rsidRPr="00D33661">
              <w:rPr>
                <w:b/>
                <w:bCs/>
                <w:color w:val="000000"/>
                <w:sz w:val="15"/>
                <w:szCs w:val="15"/>
              </w:rPr>
              <w:t>0.74 (0.63, 0.86)</w:t>
            </w:r>
          </w:p>
        </w:tc>
      </w:tr>
      <w:tr w:rsidR="00D33661" w:rsidRPr="00D33661" w14:paraId="6916F70E" w14:textId="77777777" w:rsidTr="00D33661">
        <w:trPr>
          <w:trHeight w:val="680"/>
        </w:trPr>
        <w:tc>
          <w:tcPr>
            <w:tcW w:w="1289" w:type="dxa"/>
            <w:tcBorders>
              <w:top w:val="nil"/>
              <w:left w:val="single" w:sz="4" w:space="0" w:color="auto"/>
              <w:bottom w:val="single" w:sz="4" w:space="0" w:color="auto"/>
              <w:right w:val="nil"/>
            </w:tcBorders>
            <w:shd w:val="clear" w:color="auto" w:fill="auto"/>
            <w:vAlign w:val="center"/>
            <w:hideMark/>
          </w:tcPr>
          <w:p w14:paraId="067F9293" w14:textId="77777777" w:rsidR="00D33661" w:rsidRPr="00D33661" w:rsidRDefault="00D33661" w:rsidP="00D33661">
            <w:pPr>
              <w:rPr>
                <w:rFonts w:ascii="Times" w:hAnsi="Times"/>
                <w:color w:val="000000"/>
                <w:sz w:val="17"/>
                <w:szCs w:val="17"/>
              </w:rPr>
            </w:pPr>
            <w:r w:rsidRPr="00D33661">
              <w:rPr>
                <w:rFonts w:ascii="Times" w:hAnsi="Times"/>
                <w:color w:val="000000"/>
                <w:sz w:val="17"/>
                <w:szCs w:val="17"/>
              </w:rPr>
              <w:t>NH Indigenous/ First Persons</w:t>
            </w:r>
          </w:p>
        </w:tc>
        <w:tc>
          <w:tcPr>
            <w:tcW w:w="696" w:type="dxa"/>
            <w:tcBorders>
              <w:top w:val="nil"/>
              <w:left w:val="nil"/>
              <w:bottom w:val="single" w:sz="4" w:space="0" w:color="auto"/>
              <w:right w:val="nil"/>
            </w:tcBorders>
            <w:shd w:val="clear" w:color="auto" w:fill="auto"/>
            <w:vAlign w:val="center"/>
            <w:hideMark/>
          </w:tcPr>
          <w:p w14:paraId="6726D00A" w14:textId="77777777" w:rsidR="00D33661" w:rsidRPr="00D33661" w:rsidRDefault="00D33661" w:rsidP="00D33661">
            <w:pPr>
              <w:jc w:val="center"/>
              <w:rPr>
                <w:color w:val="000000"/>
                <w:sz w:val="15"/>
                <w:szCs w:val="15"/>
              </w:rPr>
            </w:pPr>
            <w:r w:rsidRPr="00D33661">
              <w:rPr>
                <w:color w:val="000000"/>
                <w:sz w:val="15"/>
                <w:szCs w:val="15"/>
              </w:rPr>
              <w:t>756</w:t>
            </w:r>
          </w:p>
        </w:tc>
        <w:tc>
          <w:tcPr>
            <w:tcW w:w="1250" w:type="dxa"/>
            <w:tcBorders>
              <w:top w:val="nil"/>
              <w:left w:val="nil"/>
              <w:bottom w:val="single" w:sz="4" w:space="0" w:color="auto"/>
              <w:right w:val="nil"/>
            </w:tcBorders>
            <w:shd w:val="clear" w:color="auto" w:fill="auto"/>
            <w:vAlign w:val="center"/>
            <w:hideMark/>
          </w:tcPr>
          <w:p w14:paraId="57080A24" w14:textId="77777777" w:rsidR="00D33661" w:rsidRPr="00D33661" w:rsidRDefault="00D33661" w:rsidP="00D33661">
            <w:pPr>
              <w:jc w:val="center"/>
              <w:rPr>
                <w:rFonts w:ascii="Times" w:hAnsi="Times"/>
                <w:b/>
                <w:bCs/>
                <w:color w:val="000000"/>
                <w:sz w:val="15"/>
                <w:szCs w:val="15"/>
              </w:rPr>
            </w:pPr>
            <w:r w:rsidRPr="00D33661">
              <w:rPr>
                <w:rFonts w:ascii="Times" w:hAnsi="Times"/>
                <w:b/>
                <w:bCs/>
                <w:color w:val="000000"/>
                <w:sz w:val="15"/>
                <w:szCs w:val="15"/>
              </w:rPr>
              <w:t>2.38 (1.89, 2.99)</w:t>
            </w:r>
          </w:p>
        </w:tc>
        <w:tc>
          <w:tcPr>
            <w:tcW w:w="603" w:type="dxa"/>
            <w:tcBorders>
              <w:top w:val="nil"/>
              <w:left w:val="nil"/>
              <w:bottom w:val="single" w:sz="4" w:space="0" w:color="auto"/>
              <w:right w:val="nil"/>
            </w:tcBorders>
            <w:shd w:val="clear" w:color="auto" w:fill="auto"/>
            <w:vAlign w:val="center"/>
            <w:hideMark/>
          </w:tcPr>
          <w:p w14:paraId="6A79E03E" w14:textId="77777777" w:rsidR="00D33661" w:rsidRPr="00D33661" w:rsidRDefault="00D33661" w:rsidP="00D33661">
            <w:pPr>
              <w:jc w:val="center"/>
              <w:rPr>
                <w:rFonts w:ascii="Times" w:hAnsi="Times"/>
                <w:color w:val="000000"/>
                <w:sz w:val="15"/>
                <w:szCs w:val="15"/>
              </w:rPr>
            </w:pPr>
            <w:r w:rsidRPr="00D33661">
              <w:rPr>
                <w:rFonts w:ascii="Times" w:hAnsi="Times"/>
                <w:color w:val="000000"/>
                <w:sz w:val="15"/>
                <w:szCs w:val="15"/>
              </w:rPr>
              <w:t>348</w:t>
            </w:r>
          </w:p>
        </w:tc>
        <w:tc>
          <w:tcPr>
            <w:tcW w:w="1287" w:type="dxa"/>
            <w:tcBorders>
              <w:top w:val="nil"/>
              <w:left w:val="nil"/>
              <w:bottom w:val="single" w:sz="4" w:space="0" w:color="auto"/>
              <w:right w:val="nil"/>
            </w:tcBorders>
            <w:shd w:val="clear" w:color="auto" w:fill="auto"/>
            <w:vAlign w:val="center"/>
            <w:hideMark/>
          </w:tcPr>
          <w:p w14:paraId="609C8A35" w14:textId="77777777" w:rsidR="00D33661" w:rsidRPr="00D33661" w:rsidRDefault="00D33661" w:rsidP="00D33661">
            <w:pPr>
              <w:jc w:val="center"/>
              <w:rPr>
                <w:rFonts w:ascii="Times" w:hAnsi="Times"/>
                <w:color w:val="000000"/>
                <w:sz w:val="15"/>
                <w:szCs w:val="15"/>
              </w:rPr>
            </w:pPr>
            <w:r w:rsidRPr="00D33661">
              <w:rPr>
                <w:rFonts w:ascii="Times" w:hAnsi="Times"/>
                <w:color w:val="000000"/>
                <w:sz w:val="15"/>
                <w:szCs w:val="15"/>
              </w:rPr>
              <w:t>0.96 (0.52, 1.76)</w:t>
            </w:r>
          </w:p>
        </w:tc>
        <w:tc>
          <w:tcPr>
            <w:tcW w:w="604" w:type="dxa"/>
            <w:tcBorders>
              <w:top w:val="nil"/>
              <w:left w:val="nil"/>
              <w:bottom w:val="single" w:sz="4" w:space="0" w:color="auto"/>
              <w:right w:val="nil"/>
            </w:tcBorders>
            <w:shd w:val="clear" w:color="auto" w:fill="auto"/>
            <w:vAlign w:val="center"/>
            <w:hideMark/>
          </w:tcPr>
          <w:p w14:paraId="706EEB5E" w14:textId="77777777" w:rsidR="00D33661" w:rsidRPr="00D33661" w:rsidRDefault="00D33661" w:rsidP="00D33661">
            <w:pPr>
              <w:jc w:val="center"/>
              <w:rPr>
                <w:color w:val="000000"/>
                <w:sz w:val="15"/>
                <w:szCs w:val="15"/>
              </w:rPr>
            </w:pPr>
            <w:r w:rsidRPr="00D33661">
              <w:rPr>
                <w:color w:val="000000"/>
                <w:sz w:val="15"/>
                <w:szCs w:val="15"/>
              </w:rPr>
              <w:t>499</w:t>
            </w:r>
          </w:p>
        </w:tc>
        <w:tc>
          <w:tcPr>
            <w:tcW w:w="1276" w:type="dxa"/>
            <w:tcBorders>
              <w:top w:val="nil"/>
              <w:left w:val="nil"/>
              <w:bottom w:val="single" w:sz="4" w:space="0" w:color="auto"/>
              <w:right w:val="nil"/>
            </w:tcBorders>
            <w:shd w:val="clear" w:color="auto" w:fill="auto"/>
            <w:vAlign w:val="center"/>
            <w:hideMark/>
          </w:tcPr>
          <w:p w14:paraId="6A48665D" w14:textId="77777777" w:rsidR="00D33661" w:rsidRPr="00D33661" w:rsidRDefault="00D33661" w:rsidP="00D33661">
            <w:pPr>
              <w:jc w:val="center"/>
              <w:rPr>
                <w:color w:val="000000"/>
                <w:sz w:val="15"/>
                <w:szCs w:val="15"/>
              </w:rPr>
            </w:pPr>
            <w:r w:rsidRPr="00D33661">
              <w:rPr>
                <w:color w:val="000000"/>
                <w:sz w:val="15"/>
                <w:szCs w:val="15"/>
              </w:rPr>
              <w:t>0.61 (0.29, 1.29)</w:t>
            </w:r>
          </w:p>
        </w:tc>
        <w:tc>
          <w:tcPr>
            <w:tcW w:w="591" w:type="dxa"/>
            <w:tcBorders>
              <w:top w:val="nil"/>
              <w:left w:val="nil"/>
              <w:bottom w:val="single" w:sz="4" w:space="0" w:color="auto"/>
              <w:right w:val="nil"/>
            </w:tcBorders>
            <w:shd w:val="clear" w:color="auto" w:fill="auto"/>
            <w:vAlign w:val="center"/>
            <w:hideMark/>
          </w:tcPr>
          <w:p w14:paraId="768BE94E" w14:textId="77777777" w:rsidR="00D33661" w:rsidRPr="00D33661" w:rsidRDefault="00D33661" w:rsidP="00D33661">
            <w:pPr>
              <w:jc w:val="center"/>
              <w:rPr>
                <w:color w:val="000000"/>
                <w:sz w:val="15"/>
                <w:szCs w:val="15"/>
              </w:rPr>
            </w:pPr>
            <w:r w:rsidRPr="00D33661">
              <w:rPr>
                <w:color w:val="000000"/>
                <w:sz w:val="15"/>
                <w:szCs w:val="15"/>
              </w:rPr>
              <w:t>756</w:t>
            </w:r>
          </w:p>
        </w:tc>
        <w:tc>
          <w:tcPr>
            <w:tcW w:w="1495" w:type="dxa"/>
            <w:tcBorders>
              <w:top w:val="nil"/>
              <w:left w:val="nil"/>
              <w:bottom w:val="single" w:sz="4" w:space="0" w:color="auto"/>
              <w:right w:val="nil"/>
            </w:tcBorders>
            <w:shd w:val="clear" w:color="auto" w:fill="auto"/>
            <w:noWrap/>
            <w:vAlign w:val="center"/>
            <w:hideMark/>
          </w:tcPr>
          <w:p w14:paraId="70824846" w14:textId="77777777" w:rsidR="00D33661" w:rsidRPr="00D33661" w:rsidRDefault="00D33661" w:rsidP="00D33661">
            <w:pPr>
              <w:jc w:val="center"/>
              <w:rPr>
                <w:rFonts w:ascii="Times Roman" w:hAnsi="Times Roman"/>
                <w:color w:val="000000"/>
                <w:sz w:val="15"/>
                <w:szCs w:val="15"/>
              </w:rPr>
            </w:pPr>
            <w:r w:rsidRPr="00D33661">
              <w:rPr>
                <w:rFonts w:ascii="Times Roman" w:hAnsi="Times Roman"/>
                <w:color w:val="000000"/>
                <w:sz w:val="15"/>
                <w:szCs w:val="15"/>
              </w:rPr>
              <w:t>1.24 (0.73, 2.11)</w:t>
            </w:r>
          </w:p>
        </w:tc>
        <w:tc>
          <w:tcPr>
            <w:tcW w:w="516" w:type="dxa"/>
            <w:tcBorders>
              <w:top w:val="nil"/>
              <w:left w:val="nil"/>
              <w:bottom w:val="single" w:sz="4" w:space="0" w:color="auto"/>
              <w:right w:val="nil"/>
            </w:tcBorders>
            <w:shd w:val="clear" w:color="auto" w:fill="auto"/>
            <w:vAlign w:val="center"/>
            <w:hideMark/>
          </w:tcPr>
          <w:p w14:paraId="511B97D8" w14:textId="77777777" w:rsidR="00D33661" w:rsidRPr="00D33661" w:rsidRDefault="00D33661" w:rsidP="00D33661">
            <w:pPr>
              <w:jc w:val="center"/>
              <w:rPr>
                <w:color w:val="000000"/>
                <w:sz w:val="15"/>
                <w:szCs w:val="15"/>
              </w:rPr>
            </w:pPr>
            <w:r w:rsidRPr="00D33661">
              <w:rPr>
                <w:color w:val="000000"/>
                <w:sz w:val="15"/>
                <w:szCs w:val="15"/>
              </w:rPr>
              <w:t>87</w:t>
            </w:r>
          </w:p>
        </w:tc>
        <w:tc>
          <w:tcPr>
            <w:tcW w:w="1728" w:type="dxa"/>
            <w:tcBorders>
              <w:top w:val="nil"/>
              <w:left w:val="nil"/>
              <w:bottom w:val="single" w:sz="4" w:space="0" w:color="auto"/>
              <w:right w:val="single" w:sz="4" w:space="0" w:color="auto"/>
            </w:tcBorders>
            <w:shd w:val="clear" w:color="auto" w:fill="auto"/>
            <w:vAlign w:val="center"/>
            <w:hideMark/>
          </w:tcPr>
          <w:p w14:paraId="2A9D2165" w14:textId="77777777" w:rsidR="00D33661" w:rsidRPr="00D33661" w:rsidRDefault="00D33661" w:rsidP="00D33661">
            <w:pPr>
              <w:jc w:val="center"/>
              <w:rPr>
                <w:color w:val="000000"/>
                <w:sz w:val="15"/>
                <w:szCs w:val="15"/>
              </w:rPr>
            </w:pPr>
            <w:r w:rsidRPr="00D33661">
              <w:rPr>
                <w:color w:val="000000"/>
                <w:sz w:val="15"/>
                <w:szCs w:val="15"/>
              </w:rPr>
              <w:t>-</w:t>
            </w:r>
          </w:p>
        </w:tc>
      </w:tr>
      <w:tr w:rsidR="00D33661" w:rsidRPr="00D33661" w14:paraId="508E86E1" w14:textId="77777777" w:rsidTr="00D33661">
        <w:trPr>
          <w:trHeight w:val="680"/>
        </w:trPr>
        <w:tc>
          <w:tcPr>
            <w:tcW w:w="1289" w:type="dxa"/>
            <w:tcBorders>
              <w:top w:val="nil"/>
              <w:left w:val="single" w:sz="4" w:space="0" w:color="auto"/>
              <w:bottom w:val="single" w:sz="4" w:space="0" w:color="auto"/>
              <w:right w:val="nil"/>
            </w:tcBorders>
            <w:shd w:val="clear" w:color="auto" w:fill="auto"/>
            <w:vAlign w:val="center"/>
            <w:hideMark/>
          </w:tcPr>
          <w:p w14:paraId="3110CC59" w14:textId="77777777" w:rsidR="00D33661" w:rsidRPr="00D33661" w:rsidRDefault="00D33661" w:rsidP="00D33661">
            <w:pPr>
              <w:rPr>
                <w:rFonts w:ascii="Times" w:hAnsi="Times"/>
                <w:color w:val="000000"/>
                <w:sz w:val="17"/>
                <w:szCs w:val="17"/>
              </w:rPr>
            </w:pPr>
            <w:r w:rsidRPr="00D33661">
              <w:rPr>
                <w:rFonts w:ascii="Times" w:hAnsi="Times"/>
                <w:color w:val="000000"/>
                <w:sz w:val="17"/>
                <w:szCs w:val="17"/>
              </w:rPr>
              <w:t>NH Multiple Race</w:t>
            </w:r>
          </w:p>
        </w:tc>
        <w:tc>
          <w:tcPr>
            <w:tcW w:w="696" w:type="dxa"/>
            <w:tcBorders>
              <w:top w:val="nil"/>
              <w:left w:val="nil"/>
              <w:bottom w:val="single" w:sz="4" w:space="0" w:color="auto"/>
              <w:right w:val="nil"/>
            </w:tcBorders>
            <w:shd w:val="clear" w:color="auto" w:fill="auto"/>
            <w:vAlign w:val="center"/>
            <w:hideMark/>
          </w:tcPr>
          <w:p w14:paraId="6C7C3A43" w14:textId="77777777" w:rsidR="00D33661" w:rsidRPr="00D33661" w:rsidRDefault="00D33661" w:rsidP="00D33661">
            <w:pPr>
              <w:jc w:val="center"/>
              <w:rPr>
                <w:color w:val="000000"/>
                <w:sz w:val="15"/>
                <w:szCs w:val="15"/>
              </w:rPr>
            </w:pPr>
            <w:r w:rsidRPr="00D33661">
              <w:rPr>
                <w:color w:val="000000"/>
                <w:sz w:val="15"/>
                <w:szCs w:val="15"/>
              </w:rPr>
              <w:t>708</w:t>
            </w:r>
          </w:p>
        </w:tc>
        <w:tc>
          <w:tcPr>
            <w:tcW w:w="1250" w:type="dxa"/>
            <w:tcBorders>
              <w:top w:val="nil"/>
              <w:left w:val="nil"/>
              <w:bottom w:val="single" w:sz="4" w:space="0" w:color="auto"/>
              <w:right w:val="nil"/>
            </w:tcBorders>
            <w:shd w:val="clear" w:color="auto" w:fill="auto"/>
            <w:vAlign w:val="center"/>
            <w:hideMark/>
          </w:tcPr>
          <w:p w14:paraId="74D40490" w14:textId="77777777" w:rsidR="00D33661" w:rsidRPr="00D33661" w:rsidRDefault="00D33661" w:rsidP="00D33661">
            <w:pPr>
              <w:jc w:val="center"/>
              <w:rPr>
                <w:rFonts w:ascii="Times" w:hAnsi="Times"/>
                <w:color w:val="000000"/>
                <w:sz w:val="15"/>
                <w:szCs w:val="15"/>
              </w:rPr>
            </w:pPr>
            <w:r w:rsidRPr="00D33661">
              <w:rPr>
                <w:rFonts w:ascii="Times" w:hAnsi="Times"/>
                <w:color w:val="000000"/>
                <w:sz w:val="15"/>
                <w:szCs w:val="15"/>
              </w:rPr>
              <w:t>1.39 (0.98, 1.94)</w:t>
            </w:r>
          </w:p>
        </w:tc>
        <w:tc>
          <w:tcPr>
            <w:tcW w:w="603" w:type="dxa"/>
            <w:tcBorders>
              <w:top w:val="nil"/>
              <w:left w:val="nil"/>
              <w:bottom w:val="single" w:sz="4" w:space="0" w:color="auto"/>
              <w:right w:val="nil"/>
            </w:tcBorders>
            <w:shd w:val="clear" w:color="auto" w:fill="auto"/>
            <w:vAlign w:val="center"/>
            <w:hideMark/>
          </w:tcPr>
          <w:p w14:paraId="04BFFBA2" w14:textId="77777777" w:rsidR="00D33661" w:rsidRPr="00D33661" w:rsidRDefault="00D33661" w:rsidP="00D33661">
            <w:pPr>
              <w:jc w:val="center"/>
              <w:rPr>
                <w:rFonts w:ascii="Times" w:hAnsi="Times"/>
                <w:color w:val="000000"/>
                <w:sz w:val="15"/>
                <w:szCs w:val="15"/>
              </w:rPr>
            </w:pPr>
            <w:r w:rsidRPr="00D33661">
              <w:rPr>
                <w:rFonts w:ascii="Times" w:hAnsi="Times"/>
                <w:color w:val="000000"/>
                <w:sz w:val="15"/>
                <w:szCs w:val="15"/>
              </w:rPr>
              <w:t>233</w:t>
            </w:r>
          </w:p>
        </w:tc>
        <w:tc>
          <w:tcPr>
            <w:tcW w:w="1287" w:type="dxa"/>
            <w:tcBorders>
              <w:top w:val="nil"/>
              <w:left w:val="nil"/>
              <w:bottom w:val="single" w:sz="4" w:space="0" w:color="auto"/>
              <w:right w:val="nil"/>
            </w:tcBorders>
            <w:shd w:val="clear" w:color="auto" w:fill="auto"/>
            <w:vAlign w:val="center"/>
            <w:hideMark/>
          </w:tcPr>
          <w:p w14:paraId="542517F1" w14:textId="77777777" w:rsidR="00D33661" w:rsidRPr="00D33661" w:rsidRDefault="00D33661" w:rsidP="00D33661">
            <w:pPr>
              <w:jc w:val="center"/>
              <w:rPr>
                <w:rFonts w:ascii="Times" w:hAnsi="Times"/>
                <w:color w:val="000000"/>
                <w:sz w:val="15"/>
                <w:szCs w:val="15"/>
              </w:rPr>
            </w:pPr>
            <w:r w:rsidRPr="00D33661">
              <w:rPr>
                <w:rFonts w:ascii="Times" w:hAnsi="Times"/>
                <w:color w:val="000000"/>
                <w:sz w:val="15"/>
                <w:szCs w:val="15"/>
              </w:rPr>
              <w:t>0.88 (0.48, 1.62)</w:t>
            </w:r>
          </w:p>
        </w:tc>
        <w:tc>
          <w:tcPr>
            <w:tcW w:w="604" w:type="dxa"/>
            <w:tcBorders>
              <w:top w:val="nil"/>
              <w:left w:val="nil"/>
              <w:bottom w:val="single" w:sz="4" w:space="0" w:color="auto"/>
              <w:right w:val="nil"/>
            </w:tcBorders>
            <w:shd w:val="clear" w:color="auto" w:fill="auto"/>
            <w:vAlign w:val="center"/>
            <w:hideMark/>
          </w:tcPr>
          <w:p w14:paraId="2E146B31" w14:textId="77777777" w:rsidR="00D33661" w:rsidRPr="00D33661" w:rsidRDefault="00D33661" w:rsidP="00D33661">
            <w:pPr>
              <w:jc w:val="center"/>
              <w:rPr>
                <w:color w:val="000000"/>
                <w:sz w:val="15"/>
                <w:szCs w:val="15"/>
              </w:rPr>
            </w:pPr>
            <w:r w:rsidRPr="00D33661">
              <w:rPr>
                <w:color w:val="000000"/>
                <w:sz w:val="15"/>
                <w:szCs w:val="15"/>
              </w:rPr>
              <w:t>472</w:t>
            </w:r>
          </w:p>
        </w:tc>
        <w:tc>
          <w:tcPr>
            <w:tcW w:w="1276" w:type="dxa"/>
            <w:tcBorders>
              <w:top w:val="nil"/>
              <w:left w:val="nil"/>
              <w:bottom w:val="single" w:sz="4" w:space="0" w:color="auto"/>
              <w:right w:val="nil"/>
            </w:tcBorders>
            <w:shd w:val="clear" w:color="auto" w:fill="auto"/>
            <w:vAlign w:val="center"/>
            <w:hideMark/>
          </w:tcPr>
          <w:p w14:paraId="60610D31" w14:textId="77777777" w:rsidR="00D33661" w:rsidRPr="00D33661" w:rsidRDefault="00D33661" w:rsidP="00D33661">
            <w:pPr>
              <w:jc w:val="center"/>
              <w:rPr>
                <w:color w:val="000000"/>
                <w:sz w:val="15"/>
                <w:szCs w:val="15"/>
              </w:rPr>
            </w:pPr>
            <w:r w:rsidRPr="00D33661">
              <w:rPr>
                <w:color w:val="000000"/>
                <w:sz w:val="15"/>
                <w:szCs w:val="15"/>
              </w:rPr>
              <w:t>0.78 (0.39, 1.59)</w:t>
            </w:r>
          </w:p>
        </w:tc>
        <w:tc>
          <w:tcPr>
            <w:tcW w:w="591" w:type="dxa"/>
            <w:tcBorders>
              <w:top w:val="nil"/>
              <w:left w:val="nil"/>
              <w:bottom w:val="single" w:sz="4" w:space="0" w:color="auto"/>
              <w:right w:val="nil"/>
            </w:tcBorders>
            <w:shd w:val="clear" w:color="auto" w:fill="auto"/>
            <w:vAlign w:val="center"/>
            <w:hideMark/>
          </w:tcPr>
          <w:p w14:paraId="0643FB34" w14:textId="77777777" w:rsidR="00D33661" w:rsidRPr="00D33661" w:rsidRDefault="00D33661" w:rsidP="00D33661">
            <w:pPr>
              <w:jc w:val="center"/>
              <w:rPr>
                <w:color w:val="000000"/>
                <w:sz w:val="15"/>
                <w:szCs w:val="15"/>
              </w:rPr>
            </w:pPr>
            <w:r w:rsidRPr="00D33661">
              <w:rPr>
                <w:color w:val="000000"/>
                <w:sz w:val="15"/>
                <w:szCs w:val="15"/>
              </w:rPr>
              <w:t>708</w:t>
            </w:r>
          </w:p>
        </w:tc>
        <w:tc>
          <w:tcPr>
            <w:tcW w:w="1495" w:type="dxa"/>
            <w:tcBorders>
              <w:top w:val="nil"/>
              <w:left w:val="nil"/>
              <w:bottom w:val="single" w:sz="4" w:space="0" w:color="auto"/>
              <w:right w:val="nil"/>
            </w:tcBorders>
            <w:shd w:val="clear" w:color="auto" w:fill="auto"/>
            <w:noWrap/>
            <w:vAlign w:val="center"/>
            <w:hideMark/>
          </w:tcPr>
          <w:p w14:paraId="7908AAAA" w14:textId="77777777" w:rsidR="00D33661" w:rsidRPr="00D33661" w:rsidRDefault="00D33661" w:rsidP="00D33661">
            <w:pPr>
              <w:jc w:val="center"/>
              <w:rPr>
                <w:rFonts w:ascii="Times Roman" w:hAnsi="Times Roman"/>
                <w:color w:val="000000"/>
                <w:sz w:val="15"/>
                <w:szCs w:val="15"/>
              </w:rPr>
            </w:pPr>
            <w:r w:rsidRPr="00D33661">
              <w:rPr>
                <w:rFonts w:ascii="Times Roman" w:hAnsi="Times Roman"/>
                <w:color w:val="000000"/>
                <w:sz w:val="15"/>
                <w:szCs w:val="15"/>
              </w:rPr>
              <w:t>0.90 (0.40, 2.02)</w:t>
            </w:r>
          </w:p>
        </w:tc>
        <w:tc>
          <w:tcPr>
            <w:tcW w:w="516" w:type="dxa"/>
            <w:tcBorders>
              <w:top w:val="nil"/>
              <w:left w:val="nil"/>
              <w:bottom w:val="single" w:sz="4" w:space="0" w:color="auto"/>
              <w:right w:val="nil"/>
            </w:tcBorders>
            <w:shd w:val="clear" w:color="auto" w:fill="auto"/>
            <w:vAlign w:val="center"/>
            <w:hideMark/>
          </w:tcPr>
          <w:p w14:paraId="5C884579" w14:textId="77777777" w:rsidR="00D33661" w:rsidRPr="00D33661" w:rsidRDefault="00D33661" w:rsidP="00D33661">
            <w:pPr>
              <w:jc w:val="center"/>
              <w:rPr>
                <w:color w:val="000000"/>
                <w:sz w:val="15"/>
                <w:szCs w:val="15"/>
              </w:rPr>
            </w:pPr>
            <w:r w:rsidRPr="00D33661">
              <w:rPr>
                <w:color w:val="000000"/>
                <w:sz w:val="15"/>
                <w:szCs w:val="15"/>
              </w:rPr>
              <w:t>38</w:t>
            </w:r>
          </w:p>
        </w:tc>
        <w:tc>
          <w:tcPr>
            <w:tcW w:w="1728" w:type="dxa"/>
            <w:tcBorders>
              <w:top w:val="nil"/>
              <w:left w:val="nil"/>
              <w:bottom w:val="single" w:sz="4" w:space="0" w:color="auto"/>
              <w:right w:val="single" w:sz="4" w:space="0" w:color="auto"/>
            </w:tcBorders>
            <w:shd w:val="clear" w:color="auto" w:fill="auto"/>
            <w:vAlign w:val="center"/>
            <w:hideMark/>
          </w:tcPr>
          <w:p w14:paraId="72DE2DC3" w14:textId="77777777" w:rsidR="00D33661" w:rsidRPr="00D33661" w:rsidRDefault="00D33661" w:rsidP="00D33661">
            <w:pPr>
              <w:jc w:val="center"/>
              <w:rPr>
                <w:color w:val="000000"/>
                <w:sz w:val="15"/>
                <w:szCs w:val="15"/>
              </w:rPr>
            </w:pPr>
            <w:r w:rsidRPr="00D33661">
              <w:rPr>
                <w:color w:val="000000"/>
                <w:sz w:val="15"/>
                <w:szCs w:val="15"/>
              </w:rPr>
              <w:t>-</w:t>
            </w:r>
          </w:p>
        </w:tc>
      </w:tr>
      <w:tr w:rsidR="00D33661" w:rsidRPr="00D33661" w14:paraId="316E1B21" w14:textId="77777777" w:rsidTr="00D33661">
        <w:trPr>
          <w:trHeight w:val="680"/>
        </w:trPr>
        <w:tc>
          <w:tcPr>
            <w:tcW w:w="1289" w:type="dxa"/>
            <w:tcBorders>
              <w:top w:val="nil"/>
              <w:left w:val="single" w:sz="4" w:space="0" w:color="auto"/>
              <w:bottom w:val="single" w:sz="4" w:space="0" w:color="auto"/>
              <w:right w:val="nil"/>
            </w:tcBorders>
            <w:shd w:val="clear" w:color="auto" w:fill="auto"/>
            <w:vAlign w:val="center"/>
            <w:hideMark/>
          </w:tcPr>
          <w:p w14:paraId="06D93517" w14:textId="77777777" w:rsidR="00D33661" w:rsidRPr="00D33661" w:rsidRDefault="00D33661" w:rsidP="00D33661">
            <w:pPr>
              <w:rPr>
                <w:rFonts w:ascii="Times" w:hAnsi="Times"/>
                <w:color w:val="000000"/>
                <w:sz w:val="17"/>
                <w:szCs w:val="17"/>
              </w:rPr>
            </w:pPr>
            <w:r w:rsidRPr="00D33661">
              <w:rPr>
                <w:rFonts w:ascii="Times" w:hAnsi="Times"/>
                <w:color w:val="000000"/>
                <w:sz w:val="17"/>
                <w:szCs w:val="17"/>
              </w:rPr>
              <w:t>NH Other</w:t>
            </w:r>
          </w:p>
        </w:tc>
        <w:tc>
          <w:tcPr>
            <w:tcW w:w="696" w:type="dxa"/>
            <w:tcBorders>
              <w:top w:val="nil"/>
              <w:left w:val="nil"/>
              <w:bottom w:val="single" w:sz="4" w:space="0" w:color="auto"/>
              <w:right w:val="nil"/>
            </w:tcBorders>
            <w:shd w:val="clear" w:color="auto" w:fill="auto"/>
            <w:vAlign w:val="center"/>
            <w:hideMark/>
          </w:tcPr>
          <w:p w14:paraId="55D6748B" w14:textId="77777777" w:rsidR="00D33661" w:rsidRPr="00D33661" w:rsidRDefault="00D33661" w:rsidP="00D33661">
            <w:pPr>
              <w:jc w:val="center"/>
              <w:rPr>
                <w:color w:val="000000"/>
                <w:sz w:val="15"/>
                <w:szCs w:val="15"/>
              </w:rPr>
            </w:pPr>
            <w:r w:rsidRPr="00D33661">
              <w:rPr>
                <w:color w:val="000000"/>
                <w:sz w:val="15"/>
                <w:szCs w:val="15"/>
              </w:rPr>
              <w:t>1490</w:t>
            </w:r>
          </w:p>
        </w:tc>
        <w:tc>
          <w:tcPr>
            <w:tcW w:w="1250" w:type="dxa"/>
            <w:tcBorders>
              <w:top w:val="nil"/>
              <w:left w:val="nil"/>
              <w:bottom w:val="single" w:sz="4" w:space="0" w:color="auto"/>
              <w:right w:val="nil"/>
            </w:tcBorders>
            <w:shd w:val="clear" w:color="auto" w:fill="auto"/>
            <w:vAlign w:val="center"/>
            <w:hideMark/>
          </w:tcPr>
          <w:p w14:paraId="1F41D363" w14:textId="77777777" w:rsidR="00D33661" w:rsidRPr="00D33661" w:rsidRDefault="00D33661" w:rsidP="00D33661">
            <w:pPr>
              <w:jc w:val="center"/>
              <w:rPr>
                <w:rFonts w:ascii="Times" w:hAnsi="Times"/>
                <w:b/>
                <w:bCs/>
                <w:color w:val="000000"/>
                <w:sz w:val="15"/>
                <w:szCs w:val="15"/>
              </w:rPr>
            </w:pPr>
            <w:r w:rsidRPr="00D33661">
              <w:rPr>
                <w:rFonts w:ascii="Times" w:hAnsi="Times"/>
                <w:b/>
                <w:bCs/>
                <w:color w:val="000000"/>
                <w:sz w:val="15"/>
                <w:szCs w:val="15"/>
              </w:rPr>
              <w:t>1.30 (1.04, 1.62)</w:t>
            </w:r>
          </w:p>
        </w:tc>
        <w:tc>
          <w:tcPr>
            <w:tcW w:w="603" w:type="dxa"/>
            <w:tcBorders>
              <w:top w:val="nil"/>
              <w:left w:val="nil"/>
              <w:bottom w:val="single" w:sz="4" w:space="0" w:color="auto"/>
              <w:right w:val="nil"/>
            </w:tcBorders>
            <w:shd w:val="clear" w:color="auto" w:fill="auto"/>
            <w:vAlign w:val="center"/>
            <w:hideMark/>
          </w:tcPr>
          <w:p w14:paraId="3B573D1B" w14:textId="77777777" w:rsidR="00D33661" w:rsidRPr="00D33661" w:rsidRDefault="00D33661" w:rsidP="00D33661">
            <w:pPr>
              <w:jc w:val="center"/>
              <w:rPr>
                <w:rFonts w:ascii="Times" w:hAnsi="Times"/>
                <w:color w:val="000000"/>
                <w:sz w:val="15"/>
                <w:szCs w:val="15"/>
              </w:rPr>
            </w:pPr>
            <w:r w:rsidRPr="00D33661">
              <w:rPr>
                <w:rFonts w:ascii="Times" w:hAnsi="Times"/>
                <w:color w:val="000000"/>
                <w:sz w:val="15"/>
                <w:szCs w:val="15"/>
              </w:rPr>
              <w:t>453</w:t>
            </w:r>
          </w:p>
        </w:tc>
        <w:tc>
          <w:tcPr>
            <w:tcW w:w="1287" w:type="dxa"/>
            <w:tcBorders>
              <w:top w:val="nil"/>
              <w:left w:val="nil"/>
              <w:bottom w:val="single" w:sz="4" w:space="0" w:color="auto"/>
              <w:right w:val="nil"/>
            </w:tcBorders>
            <w:shd w:val="clear" w:color="auto" w:fill="auto"/>
            <w:vAlign w:val="center"/>
            <w:hideMark/>
          </w:tcPr>
          <w:p w14:paraId="1CCFFADE" w14:textId="77777777" w:rsidR="00D33661" w:rsidRPr="00D33661" w:rsidRDefault="00D33661" w:rsidP="00D33661">
            <w:pPr>
              <w:jc w:val="center"/>
              <w:rPr>
                <w:rFonts w:ascii="Times" w:hAnsi="Times"/>
                <w:color w:val="000000"/>
                <w:sz w:val="15"/>
                <w:szCs w:val="15"/>
              </w:rPr>
            </w:pPr>
            <w:r w:rsidRPr="00D33661">
              <w:rPr>
                <w:rFonts w:ascii="Times" w:hAnsi="Times"/>
                <w:color w:val="000000"/>
                <w:sz w:val="15"/>
                <w:szCs w:val="15"/>
              </w:rPr>
              <w:t>1.13 (0.70,  1.83)</w:t>
            </w:r>
          </w:p>
        </w:tc>
        <w:tc>
          <w:tcPr>
            <w:tcW w:w="604" w:type="dxa"/>
            <w:tcBorders>
              <w:top w:val="nil"/>
              <w:left w:val="nil"/>
              <w:bottom w:val="single" w:sz="4" w:space="0" w:color="auto"/>
              <w:right w:val="nil"/>
            </w:tcBorders>
            <w:shd w:val="clear" w:color="auto" w:fill="auto"/>
            <w:vAlign w:val="center"/>
            <w:hideMark/>
          </w:tcPr>
          <w:p w14:paraId="71D7EA1E" w14:textId="77777777" w:rsidR="00D33661" w:rsidRPr="00D33661" w:rsidRDefault="00D33661" w:rsidP="00D33661">
            <w:pPr>
              <w:jc w:val="center"/>
              <w:rPr>
                <w:color w:val="000000"/>
                <w:sz w:val="15"/>
                <w:szCs w:val="15"/>
              </w:rPr>
            </w:pPr>
            <w:r w:rsidRPr="00D33661">
              <w:rPr>
                <w:color w:val="000000"/>
                <w:sz w:val="15"/>
                <w:szCs w:val="15"/>
              </w:rPr>
              <w:t>1015</w:t>
            </w:r>
          </w:p>
        </w:tc>
        <w:tc>
          <w:tcPr>
            <w:tcW w:w="1276" w:type="dxa"/>
            <w:tcBorders>
              <w:top w:val="nil"/>
              <w:left w:val="nil"/>
              <w:bottom w:val="single" w:sz="4" w:space="0" w:color="auto"/>
              <w:right w:val="nil"/>
            </w:tcBorders>
            <w:shd w:val="clear" w:color="auto" w:fill="auto"/>
            <w:vAlign w:val="center"/>
            <w:hideMark/>
          </w:tcPr>
          <w:p w14:paraId="033D6814" w14:textId="77777777" w:rsidR="00D33661" w:rsidRPr="00D33661" w:rsidRDefault="00D33661" w:rsidP="00D33661">
            <w:pPr>
              <w:jc w:val="center"/>
              <w:rPr>
                <w:color w:val="000000"/>
                <w:sz w:val="15"/>
                <w:szCs w:val="15"/>
              </w:rPr>
            </w:pPr>
            <w:r w:rsidRPr="00D33661">
              <w:rPr>
                <w:color w:val="000000"/>
                <w:sz w:val="15"/>
                <w:szCs w:val="15"/>
              </w:rPr>
              <w:t>1.30 (0.88, 1.92)</w:t>
            </w:r>
          </w:p>
        </w:tc>
        <w:tc>
          <w:tcPr>
            <w:tcW w:w="591" w:type="dxa"/>
            <w:tcBorders>
              <w:top w:val="nil"/>
              <w:left w:val="nil"/>
              <w:bottom w:val="single" w:sz="4" w:space="0" w:color="auto"/>
              <w:right w:val="nil"/>
            </w:tcBorders>
            <w:shd w:val="clear" w:color="auto" w:fill="auto"/>
            <w:vAlign w:val="center"/>
            <w:hideMark/>
          </w:tcPr>
          <w:p w14:paraId="65CE7F63" w14:textId="77777777" w:rsidR="00D33661" w:rsidRPr="00D33661" w:rsidRDefault="00D33661" w:rsidP="00D33661">
            <w:pPr>
              <w:jc w:val="center"/>
              <w:rPr>
                <w:color w:val="000000"/>
                <w:sz w:val="15"/>
                <w:szCs w:val="15"/>
              </w:rPr>
            </w:pPr>
            <w:r w:rsidRPr="00D33661">
              <w:rPr>
                <w:color w:val="000000"/>
                <w:sz w:val="15"/>
                <w:szCs w:val="15"/>
              </w:rPr>
              <w:t>1490</w:t>
            </w:r>
          </w:p>
        </w:tc>
        <w:tc>
          <w:tcPr>
            <w:tcW w:w="1495" w:type="dxa"/>
            <w:tcBorders>
              <w:top w:val="nil"/>
              <w:left w:val="nil"/>
              <w:bottom w:val="single" w:sz="4" w:space="0" w:color="auto"/>
              <w:right w:val="nil"/>
            </w:tcBorders>
            <w:shd w:val="clear" w:color="auto" w:fill="auto"/>
            <w:noWrap/>
            <w:vAlign w:val="center"/>
            <w:hideMark/>
          </w:tcPr>
          <w:p w14:paraId="3DF9D4AE" w14:textId="77777777" w:rsidR="00D33661" w:rsidRPr="00D33661" w:rsidRDefault="00D33661" w:rsidP="00D33661">
            <w:pPr>
              <w:jc w:val="center"/>
              <w:rPr>
                <w:rFonts w:ascii="Times Roman" w:hAnsi="Times Roman"/>
                <w:color w:val="000000"/>
                <w:sz w:val="15"/>
                <w:szCs w:val="15"/>
              </w:rPr>
            </w:pPr>
            <w:r w:rsidRPr="00D33661">
              <w:rPr>
                <w:rFonts w:ascii="Times Roman" w:hAnsi="Times Roman"/>
                <w:color w:val="000000"/>
                <w:sz w:val="15"/>
                <w:szCs w:val="15"/>
              </w:rPr>
              <w:t>1.47 (0.98, 2.21)</w:t>
            </w:r>
          </w:p>
        </w:tc>
        <w:tc>
          <w:tcPr>
            <w:tcW w:w="516" w:type="dxa"/>
            <w:tcBorders>
              <w:top w:val="nil"/>
              <w:left w:val="nil"/>
              <w:bottom w:val="single" w:sz="4" w:space="0" w:color="auto"/>
              <w:right w:val="nil"/>
            </w:tcBorders>
            <w:shd w:val="clear" w:color="auto" w:fill="auto"/>
            <w:vAlign w:val="center"/>
            <w:hideMark/>
          </w:tcPr>
          <w:p w14:paraId="3460EE47" w14:textId="77777777" w:rsidR="00D33661" w:rsidRPr="00D33661" w:rsidRDefault="00D33661" w:rsidP="00D33661">
            <w:pPr>
              <w:jc w:val="center"/>
              <w:rPr>
                <w:color w:val="000000"/>
                <w:sz w:val="15"/>
                <w:szCs w:val="15"/>
              </w:rPr>
            </w:pPr>
            <w:r w:rsidRPr="00D33661">
              <w:rPr>
                <w:color w:val="000000"/>
                <w:sz w:val="15"/>
                <w:szCs w:val="15"/>
              </w:rPr>
              <w:t>88</w:t>
            </w:r>
          </w:p>
        </w:tc>
        <w:tc>
          <w:tcPr>
            <w:tcW w:w="1728" w:type="dxa"/>
            <w:tcBorders>
              <w:top w:val="nil"/>
              <w:left w:val="nil"/>
              <w:bottom w:val="single" w:sz="4" w:space="0" w:color="auto"/>
              <w:right w:val="single" w:sz="4" w:space="0" w:color="auto"/>
            </w:tcBorders>
            <w:shd w:val="clear" w:color="auto" w:fill="auto"/>
            <w:vAlign w:val="center"/>
            <w:hideMark/>
          </w:tcPr>
          <w:p w14:paraId="05A1F62F" w14:textId="77777777" w:rsidR="00D33661" w:rsidRPr="00D33661" w:rsidRDefault="00D33661" w:rsidP="00D33661">
            <w:pPr>
              <w:jc w:val="center"/>
              <w:rPr>
                <w:color w:val="000000"/>
                <w:sz w:val="15"/>
                <w:szCs w:val="15"/>
              </w:rPr>
            </w:pPr>
            <w:r w:rsidRPr="00D33661">
              <w:rPr>
                <w:color w:val="000000"/>
                <w:sz w:val="15"/>
                <w:szCs w:val="15"/>
              </w:rPr>
              <w:t>-</w:t>
            </w:r>
          </w:p>
        </w:tc>
      </w:tr>
    </w:tbl>
    <w:p w14:paraId="36BD7449" w14:textId="28E5751F" w:rsidR="003F005D" w:rsidRPr="0077457C" w:rsidRDefault="00431362" w:rsidP="00B159D4">
      <w:pPr>
        <w:pStyle w:val="NormalWeb"/>
        <w:spacing w:before="0" w:beforeAutospacing="0" w:after="0" w:afterAutospacing="0"/>
        <w:rPr>
          <w:rFonts w:ascii="Times" w:hAnsi="Times" w:cs="Times"/>
          <w:sz w:val="18"/>
          <w:szCs w:val="18"/>
        </w:rPr>
      </w:pPr>
      <w:r w:rsidRPr="0077457C">
        <w:rPr>
          <w:rFonts w:ascii="Times" w:hAnsi="Times" w:cs="Times"/>
          <w:sz w:val="18"/>
          <w:szCs w:val="18"/>
        </w:rPr>
        <w:t>Dash indicates insufficient</w:t>
      </w:r>
      <w:r w:rsidR="00D33661">
        <w:rPr>
          <w:rFonts w:ascii="Times" w:hAnsi="Times" w:cs="Times"/>
          <w:sz w:val="18"/>
          <w:szCs w:val="18"/>
        </w:rPr>
        <w:t xml:space="preserve"> power</w:t>
      </w:r>
      <w:r w:rsidRPr="0077457C">
        <w:rPr>
          <w:rFonts w:ascii="Times" w:hAnsi="Times" w:cs="Times"/>
          <w:sz w:val="18"/>
          <w:szCs w:val="18"/>
        </w:rPr>
        <w:t xml:space="preserve"> (</w:t>
      </w:r>
      <w:r w:rsidR="00D33661">
        <w:rPr>
          <w:rFonts w:ascii="Times" w:hAnsi="Times" w:cs="Times"/>
          <w:sz w:val="18"/>
          <w:szCs w:val="18"/>
        </w:rPr>
        <w:t xml:space="preserve">power </w:t>
      </w:r>
      <w:r w:rsidRPr="0077457C">
        <w:rPr>
          <w:rFonts w:ascii="Times" w:hAnsi="Times" w:cs="Times"/>
          <w:sz w:val="18"/>
          <w:szCs w:val="18"/>
        </w:rPr>
        <w:t>&lt; 0.75) to detect difference in proportions.</w:t>
      </w:r>
    </w:p>
    <w:p w14:paraId="38C454AB" w14:textId="221D38C6" w:rsidR="003F005D" w:rsidRPr="0077457C" w:rsidRDefault="003F005D" w:rsidP="00DB0B32">
      <w:pPr>
        <w:pStyle w:val="NormalWeb"/>
        <w:spacing w:before="0" w:beforeAutospacing="0" w:after="0" w:afterAutospacing="0"/>
        <w:rPr>
          <w:rFonts w:ascii="Times" w:hAnsi="Times" w:cs="Times"/>
          <w:sz w:val="18"/>
          <w:szCs w:val="18"/>
        </w:rPr>
      </w:pPr>
      <w:r w:rsidRPr="0077457C">
        <w:rPr>
          <w:rFonts w:ascii="Times" w:hAnsi="Times" w:cs="Times"/>
          <w:sz w:val="18"/>
          <w:szCs w:val="18"/>
        </w:rPr>
        <w:t>MFM: Maternal and Fetal Medicine</w:t>
      </w:r>
    </w:p>
    <w:p w14:paraId="5617C186" w14:textId="2CE2B0AE" w:rsidR="000C3696" w:rsidRPr="0077457C" w:rsidRDefault="00E26CD2" w:rsidP="00DB0B32">
      <w:pPr>
        <w:pStyle w:val="NormalWeb"/>
        <w:spacing w:before="0" w:beforeAutospacing="0" w:after="0" w:afterAutospacing="0"/>
        <w:rPr>
          <w:rFonts w:ascii="Times" w:hAnsi="Times" w:cs="Times"/>
          <w:sz w:val="18"/>
          <w:szCs w:val="18"/>
        </w:rPr>
      </w:pPr>
      <w:r>
        <w:rPr>
          <w:rFonts w:ascii="Times" w:hAnsi="Times" w:cs="Times"/>
          <w:sz w:val="18"/>
          <w:szCs w:val="18"/>
        </w:rPr>
        <w:t>NH: Non-Hispanic/ Latinx</w:t>
      </w:r>
    </w:p>
    <w:p w14:paraId="4257551B" w14:textId="259ADF31" w:rsidR="00CD598F" w:rsidRPr="0077457C" w:rsidRDefault="00CD598F" w:rsidP="00DB0B32">
      <w:pPr>
        <w:pStyle w:val="NormalWeb"/>
        <w:spacing w:before="0" w:beforeAutospacing="0" w:after="0" w:afterAutospacing="0"/>
        <w:rPr>
          <w:rFonts w:ascii="Times" w:hAnsi="Times" w:cs="Times"/>
          <w:sz w:val="18"/>
          <w:szCs w:val="18"/>
        </w:rPr>
      </w:pPr>
      <w:r w:rsidRPr="0077457C">
        <w:rPr>
          <w:rFonts w:ascii="Times" w:hAnsi="Times" w:cs="Times"/>
          <w:sz w:val="18"/>
          <w:szCs w:val="18"/>
        </w:rPr>
        <w:sym w:font="Symbol" w:char="F0E0"/>
      </w:r>
      <w:r w:rsidRPr="0077457C">
        <w:rPr>
          <w:rFonts w:ascii="Times" w:hAnsi="Times" w:cs="Times"/>
          <w:sz w:val="18"/>
          <w:szCs w:val="18"/>
        </w:rPr>
        <w:t xml:space="preserve"> </w:t>
      </w:r>
      <w:r w:rsidR="00E26CD2">
        <w:rPr>
          <w:rFonts w:ascii="Times" w:hAnsi="Times" w:cs="Times"/>
          <w:sz w:val="18"/>
          <w:szCs w:val="18"/>
        </w:rPr>
        <w:t xml:space="preserve">Adjusted for </w:t>
      </w:r>
      <w:r w:rsidRPr="0077457C">
        <w:rPr>
          <w:rFonts w:ascii="Times" w:hAnsi="Times" w:cs="Times"/>
          <w:sz w:val="18"/>
          <w:szCs w:val="18"/>
        </w:rPr>
        <w:t xml:space="preserve">age, BMI at admission for delivery, </w:t>
      </w:r>
      <w:r w:rsidR="00786D3C" w:rsidRPr="0077457C">
        <w:rPr>
          <w:rFonts w:ascii="Times" w:hAnsi="Times" w:cs="Times"/>
          <w:sz w:val="18"/>
          <w:szCs w:val="18"/>
        </w:rPr>
        <w:t>hospital level, and</w:t>
      </w:r>
      <w:r w:rsidRPr="0077457C">
        <w:rPr>
          <w:rFonts w:ascii="Times" w:hAnsi="Times" w:cs="Times"/>
          <w:sz w:val="18"/>
          <w:szCs w:val="18"/>
        </w:rPr>
        <w:t xml:space="preserve"> </w:t>
      </w:r>
      <w:r w:rsidR="0077457C" w:rsidRPr="0077457C">
        <w:rPr>
          <w:rFonts w:ascii="Times" w:hAnsi="Times" w:cs="Times"/>
          <w:sz w:val="18"/>
          <w:szCs w:val="18"/>
        </w:rPr>
        <w:t xml:space="preserve">private </w:t>
      </w:r>
      <w:r w:rsidRPr="0077457C">
        <w:rPr>
          <w:rFonts w:ascii="Times" w:hAnsi="Times" w:cs="Times"/>
          <w:sz w:val="18"/>
          <w:szCs w:val="18"/>
        </w:rPr>
        <w:t>health insurance</w:t>
      </w:r>
    </w:p>
    <w:p w14:paraId="0AC2C5B8" w14:textId="20F1E589" w:rsidR="00E26CD2" w:rsidRDefault="00E26CD2" w:rsidP="00B159D4">
      <w:pPr>
        <w:pStyle w:val="NormalWeb"/>
        <w:spacing w:before="0" w:beforeAutospacing="0" w:after="0" w:afterAutospacing="0"/>
        <w:rPr>
          <w:rFonts w:ascii="Times" w:hAnsi="Times" w:cs="Times"/>
          <w:sz w:val="18"/>
          <w:szCs w:val="18"/>
        </w:rPr>
      </w:pPr>
    </w:p>
    <w:p w14:paraId="7AFF6AE5" w14:textId="77777777" w:rsidR="00E26CD2" w:rsidRDefault="00E26CD2" w:rsidP="00B159D4">
      <w:pPr>
        <w:pStyle w:val="NormalWeb"/>
        <w:spacing w:before="0" w:beforeAutospacing="0" w:after="0" w:afterAutospacing="0"/>
        <w:rPr>
          <w:rFonts w:ascii="Times" w:hAnsi="Times" w:cs="Times"/>
          <w:sz w:val="18"/>
          <w:szCs w:val="18"/>
        </w:rPr>
      </w:pPr>
    </w:p>
    <w:p w14:paraId="2F0B98FA" w14:textId="77777777" w:rsidR="00E26CD2" w:rsidRDefault="00E26CD2" w:rsidP="00B159D4">
      <w:pPr>
        <w:pStyle w:val="NormalWeb"/>
        <w:spacing w:before="0" w:beforeAutospacing="0" w:after="0" w:afterAutospacing="0"/>
        <w:rPr>
          <w:rFonts w:ascii="Times" w:hAnsi="Times" w:cs="Times"/>
          <w:sz w:val="18"/>
          <w:szCs w:val="18"/>
        </w:rPr>
      </w:pPr>
    </w:p>
    <w:p w14:paraId="11BA565A" w14:textId="348F8806" w:rsidR="006F7C19" w:rsidRDefault="006F7C19" w:rsidP="00B159D4">
      <w:pPr>
        <w:pStyle w:val="NormalWeb"/>
        <w:spacing w:before="0" w:beforeAutospacing="0" w:after="0" w:afterAutospacing="0"/>
        <w:rPr>
          <w:rFonts w:ascii="Times" w:hAnsi="Times" w:cs="Times"/>
          <w:sz w:val="18"/>
          <w:szCs w:val="18"/>
        </w:rPr>
      </w:pPr>
    </w:p>
    <w:p w14:paraId="0162130B" w14:textId="2A813DB3" w:rsidR="006F7C19" w:rsidRDefault="006F7C19" w:rsidP="00B159D4">
      <w:pPr>
        <w:pStyle w:val="NormalWeb"/>
        <w:spacing w:before="0" w:beforeAutospacing="0" w:after="0" w:afterAutospacing="0"/>
        <w:rPr>
          <w:rFonts w:ascii="Times" w:hAnsi="Times" w:cs="Times"/>
          <w:sz w:val="18"/>
          <w:szCs w:val="18"/>
        </w:rPr>
      </w:pPr>
    </w:p>
    <w:p w14:paraId="3B28D86A" w14:textId="29033E6D" w:rsidR="006F7C19" w:rsidRDefault="006F7C19" w:rsidP="00B159D4">
      <w:pPr>
        <w:pStyle w:val="NormalWeb"/>
        <w:spacing w:before="0" w:beforeAutospacing="0" w:after="0" w:afterAutospacing="0"/>
        <w:rPr>
          <w:rFonts w:ascii="Times" w:hAnsi="Times" w:cs="Times"/>
          <w:sz w:val="18"/>
          <w:szCs w:val="18"/>
        </w:rPr>
      </w:pPr>
    </w:p>
    <w:p w14:paraId="7C7EAA92" w14:textId="22628E1D" w:rsidR="006F7C19" w:rsidRDefault="006F7C19" w:rsidP="00B159D4">
      <w:pPr>
        <w:pStyle w:val="NormalWeb"/>
        <w:spacing w:before="0" w:beforeAutospacing="0" w:after="0" w:afterAutospacing="0"/>
        <w:rPr>
          <w:rFonts w:ascii="Times" w:hAnsi="Times" w:cs="Times"/>
          <w:sz w:val="18"/>
          <w:szCs w:val="18"/>
        </w:rPr>
      </w:pPr>
    </w:p>
    <w:p w14:paraId="51F2EC85" w14:textId="77777777" w:rsidR="006F7C19" w:rsidRPr="00431362" w:rsidRDefault="006F7C19" w:rsidP="00B159D4">
      <w:pPr>
        <w:pStyle w:val="NormalWeb"/>
        <w:spacing w:before="0" w:beforeAutospacing="0" w:after="0" w:afterAutospacing="0"/>
        <w:rPr>
          <w:rFonts w:ascii="Times" w:hAnsi="Times" w:cs="Times"/>
          <w:sz w:val="18"/>
          <w:szCs w:val="18"/>
        </w:rPr>
      </w:pPr>
    </w:p>
    <w:p w14:paraId="38589B4F" w14:textId="77777777" w:rsidR="00E26CD2" w:rsidRDefault="00E26CD2" w:rsidP="00057779">
      <w:pPr>
        <w:pStyle w:val="NormalWeb"/>
        <w:spacing w:before="0" w:beforeAutospacing="0" w:after="0" w:afterAutospacing="0"/>
        <w:rPr>
          <w:rFonts w:ascii="Times" w:hAnsi="Times" w:cs="Times"/>
          <w:b/>
          <w:bCs/>
          <w:sz w:val="22"/>
          <w:szCs w:val="22"/>
        </w:rPr>
        <w:sectPr w:rsidR="00E26CD2" w:rsidSect="00E26CD2">
          <w:pgSz w:w="15840" w:h="12240" w:orient="landscape"/>
          <w:pgMar w:top="1440" w:right="1440" w:bottom="1440" w:left="1440" w:header="576" w:footer="720" w:gutter="0"/>
          <w:cols w:space="720"/>
          <w:docGrid w:linePitch="360"/>
        </w:sectPr>
      </w:pPr>
    </w:p>
    <w:p w14:paraId="256BFA9F" w14:textId="33B4C0E3" w:rsidR="00786837" w:rsidRPr="008A20ED" w:rsidRDefault="00786837" w:rsidP="00057779">
      <w:pPr>
        <w:pStyle w:val="NormalWeb"/>
        <w:spacing w:before="0" w:beforeAutospacing="0" w:after="0" w:afterAutospacing="0"/>
        <w:rPr>
          <w:rFonts w:ascii="Times" w:hAnsi="Times" w:cs="Times"/>
          <w:b/>
          <w:bCs/>
          <w:sz w:val="22"/>
          <w:szCs w:val="22"/>
        </w:rPr>
      </w:pPr>
      <w:r w:rsidRPr="008A20ED">
        <w:rPr>
          <w:rFonts w:ascii="Times" w:hAnsi="Times" w:cs="Times"/>
          <w:b/>
          <w:bCs/>
          <w:sz w:val="22"/>
          <w:szCs w:val="22"/>
        </w:rPr>
        <w:t>Table 4: Asian Subgroup</w:t>
      </w:r>
      <w:r w:rsidR="00DD1D1A" w:rsidRPr="008A20ED">
        <w:rPr>
          <w:rFonts w:ascii="Times" w:hAnsi="Times" w:cs="Times"/>
          <w:b/>
          <w:bCs/>
          <w:sz w:val="22"/>
          <w:szCs w:val="22"/>
        </w:rPr>
        <w:t>s</w:t>
      </w:r>
    </w:p>
    <w:tbl>
      <w:tblPr>
        <w:tblStyle w:val="TableGrid"/>
        <w:tblW w:w="0" w:type="auto"/>
        <w:tblBorders>
          <w:insideV w:val="none" w:sz="0" w:space="0" w:color="auto"/>
        </w:tblBorders>
        <w:tblLook w:val="04A0" w:firstRow="1" w:lastRow="0" w:firstColumn="1" w:lastColumn="0" w:noHBand="0" w:noVBand="1"/>
      </w:tblPr>
      <w:tblGrid>
        <w:gridCol w:w="4315"/>
        <w:gridCol w:w="2517"/>
        <w:gridCol w:w="2518"/>
      </w:tblGrid>
      <w:tr w:rsidR="00DD1D1A" w14:paraId="2F9514DA" w14:textId="77777777" w:rsidTr="00E26CD2">
        <w:tc>
          <w:tcPr>
            <w:tcW w:w="4315" w:type="dxa"/>
            <w:vAlign w:val="center"/>
          </w:tcPr>
          <w:p w14:paraId="3A7A6048" w14:textId="77777777" w:rsidR="00DD1D1A" w:rsidRPr="00E26CD2" w:rsidRDefault="00DD1D1A" w:rsidP="001C1FF2">
            <w:pPr>
              <w:pStyle w:val="NormalWeb"/>
              <w:spacing w:before="0" w:beforeAutospacing="0" w:after="0" w:afterAutospacing="0"/>
              <w:jc w:val="center"/>
              <w:rPr>
                <w:rFonts w:ascii="Times" w:hAnsi="Times" w:cs="Times"/>
                <w:sz w:val="22"/>
                <w:szCs w:val="22"/>
              </w:rPr>
            </w:pPr>
            <w:r w:rsidRPr="00E26CD2">
              <w:rPr>
                <w:rFonts w:ascii="Times" w:hAnsi="Times" w:cs="Times"/>
                <w:sz w:val="22"/>
                <w:szCs w:val="22"/>
              </w:rPr>
              <w:t>Subgroup</w:t>
            </w:r>
          </w:p>
        </w:tc>
        <w:tc>
          <w:tcPr>
            <w:tcW w:w="2517" w:type="dxa"/>
          </w:tcPr>
          <w:p w14:paraId="03CC7EAE" w14:textId="77777777" w:rsidR="00DD1D1A" w:rsidRPr="00E26CD2" w:rsidRDefault="00DD1D1A" w:rsidP="00057779">
            <w:pPr>
              <w:pStyle w:val="NormalWeb"/>
              <w:spacing w:before="0" w:beforeAutospacing="0" w:after="0" w:afterAutospacing="0"/>
              <w:jc w:val="center"/>
              <w:rPr>
                <w:rFonts w:ascii="Times" w:hAnsi="Times" w:cs="Times"/>
                <w:sz w:val="22"/>
                <w:szCs w:val="22"/>
              </w:rPr>
            </w:pPr>
            <w:r w:rsidRPr="00E26CD2">
              <w:rPr>
                <w:rFonts w:ascii="Times" w:hAnsi="Times" w:cs="Times"/>
                <w:sz w:val="22"/>
                <w:szCs w:val="22"/>
              </w:rPr>
              <w:t>N</w:t>
            </w:r>
          </w:p>
        </w:tc>
        <w:tc>
          <w:tcPr>
            <w:tcW w:w="2518" w:type="dxa"/>
          </w:tcPr>
          <w:p w14:paraId="5724887D" w14:textId="77777777" w:rsidR="00DD1D1A" w:rsidRPr="00E26CD2" w:rsidRDefault="00DD1D1A" w:rsidP="00057779">
            <w:pPr>
              <w:pStyle w:val="NormalWeb"/>
              <w:spacing w:before="0" w:beforeAutospacing="0" w:after="0" w:afterAutospacing="0"/>
              <w:jc w:val="center"/>
              <w:rPr>
                <w:rFonts w:ascii="Times" w:hAnsi="Times" w:cs="Times"/>
                <w:sz w:val="22"/>
                <w:szCs w:val="22"/>
              </w:rPr>
            </w:pPr>
            <w:r w:rsidRPr="00E26CD2">
              <w:rPr>
                <w:rFonts w:ascii="Times" w:hAnsi="Times" w:cs="Times"/>
                <w:sz w:val="22"/>
                <w:szCs w:val="22"/>
              </w:rPr>
              <w:t>Percent</w:t>
            </w:r>
          </w:p>
        </w:tc>
      </w:tr>
      <w:tr w:rsidR="00DD1D1A" w14:paraId="5AC4D12E" w14:textId="77777777" w:rsidTr="00E26CD2">
        <w:trPr>
          <w:trHeight w:val="762"/>
        </w:trPr>
        <w:tc>
          <w:tcPr>
            <w:tcW w:w="4315" w:type="dxa"/>
            <w:vAlign w:val="center"/>
          </w:tcPr>
          <w:p w14:paraId="054DC930" w14:textId="77777777" w:rsidR="00DD1D1A" w:rsidRPr="00057779" w:rsidRDefault="00DD1D1A" w:rsidP="001C1FF2">
            <w:pPr>
              <w:pStyle w:val="NormalWeb"/>
              <w:spacing w:before="0" w:beforeAutospacing="0" w:after="0" w:afterAutospacing="0"/>
              <w:jc w:val="center"/>
              <w:rPr>
                <w:rFonts w:ascii="Times" w:hAnsi="Times" w:cs="Times"/>
                <w:sz w:val="22"/>
                <w:szCs w:val="22"/>
              </w:rPr>
            </w:pPr>
            <w:r w:rsidRPr="00057779">
              <w:rPr>
                <w:rFonts w:ascii="Times" w:hAnsi="Times" w:cs="Times"/>
                <w:sz w:val="22"/>
                <w:szCs w:val="22"/>
              </w:rPr>
              <w:t>Southeast (Cambodian, Laotian, Malaysian, Filipino, Thai, Vietnamese)</w:t>
            </w:r>
          </w:p>
        </w:tc>
        <w:tc>
          <w:tcPr>
            <w:tcW w:w="2517" w:type="dxa"/>
            <w:vAlign w:val="center"/>
          </w:tcPr>
          <w:p w14:paraId="142BEFB0" w14:textId="77777777" w:rsidR="00DD1D1A" w:rsidRPr="00057779" w:rsidRDefault="00DD1D1A" w:rsidP="001C1FF2">
            <w:pPr>
              <w:pStyle w:val="NormalWeb"/>
              <w:spacing w:before="0" w:beforeAutospacing="0" w:after="0" w:afterAutospacing="0"/>
              <w:jc w:val="center"/>
              <w:rPr>
                <w:rFonts w:ascii="Times" w:hAnsi="Times" w:cs="Times"/>
                <w:sz w:val="22"/>
                <w:szCs w:val="22"/>
              </w:rPr>
            </w:pPr>
            <w:r w:rsidRPr="00057779">
              <w:rPr>
                <w:rFonts w:ascii="Times" w:hAnsi="Times" w:cs="Times"/>
                <w:sz w:val="22"/>
                <w:szCs w:val="22"/>
              </w:rPr>
              <w:t>515</w:t>
            </w:r>
          </w:p>
        </w:tc>
        <w:tc>
          <w:tcPr>
            <w:tcW w:w="2518" w:type="dxa"/>
            <w:vAlign w:val="center"/>
          </w:tcPr>
          <w:p w14:paraId="7496DDB8" w14:textId="77777777" w:rsidR="00DD1D1A" w:rsidRPr="00057779" w:rsidRDefault="00DD1D1A" w:rsidP="001C1FF2">
            <w:pPr>
              <w:pStyle w:val="NormalWeb"/>
              <w:spacing w:before="0" w:beforeAutospacing="0" w:after="0" w:afterAutospacing="0"/>
              <w:jc w:val="center"/>
              <w:rPr>
                <w:rFonts w:ascii="Times" w:hAnsi="Times" w:cs="Times"/>
                <w:sz w:val="22"/>
                <w:szCs w:val="22"/>
              </w:rPr>
            </w:pPr>
            <w:r w:rsidRPr="00057779">
              <w:rPr>
                <w:rFonts w:ascii="Times" w:hAnsi="Times" w:cs="Times"/>
                <w:sz w:val="22"/>
                <w:szCs w:val="22"/>
              </w:rPr>
              <w:t>4.8%</w:t>
            </w:r>
          </w:p>
        </w:tc>
      </w:tr>
      <w:tr w:rsidR="00DD1D1A" w14:paraId="5C936C65" w14:textId="77777777" w:rsidTr="00E26CD2">
        <w:trPr>
          <w:trHeight w:val="762"/>
        </w:trPr>
        <w:tc>
          <w:tcPr>
            <w:tcW w:w="4315" w:type="dxa"/>
            <w:vAlign w:val="center"/>
          </w:tcPr>
          <w:p w14:paraId="4B99BCEF" w14:textId="77777777" w:rsidR="00DD1D1A" w:rsidRPr="00057779" w:rsidRDefault="00DD1D1A" w:rsidP="001C1FF2">
            <w:pPr>
              <w:pStyle w:val="NormalWeb"/>
              <w:spacing w:before="0" w:beforeAutospacing="0" w:after="0" w:afterAutospacing="0"/>
              <w:jc w:val="center"/>
              <w:rPr>
                <w:rFonts w:ascii="Times" w:hAnsi="Times" w:cs="Times"/>
                <w:sz w:val="22"/>
                <w:szCs w:val="22"/>
              </w:rPr>
            </w:pPr>
            <w:r w:rsidRPr="00057779">
              <w:rPr>
                <w:rFonts w:ascii="Times" w:hAnsi="Times" w:cs="Times"/>
                <w:sz w:val="22"/>
                <w:szCs w:val="22"/>
              </w:rPr>
              <w:t>Far East (Chinese, Japanese, Korean)</w:t>
            </w:r>
          </w:p>
        </w:tc>
        <w:tc>
          <w:tcPr>
            <w:tcW w:w="2517" w:type="dxa"/>
            <w:vAlign w:val="center"/>
          </w:tcPr>
          <w:p w14:paraId="63F1F3E4" w14:textId="77777777" w:rsidR="00DD1D1A" w:rsidRPr="00057779" w:rsidRDefault="00DD1D1A" w:rsidP="001C1FF2">
            <w:pPr>
              <w:pStyle w:val="NormalWeb"/>
              <w:spacing w:before="0" w:beforeAutospacing="0" w:after="0" w:afterAutospacing="0"/>
              <w:jc w:val="center"/>
              <w:rPr>
                <w:rFonts w:ascii="Times" w:hAnsi="Times" w:cs="Times"/>
                <w:sz w:val="22"/>
                <w:szCs w:val="22"/>
              </w:rPr>
            </w:pPr>
            <w:r w:rsidRPr="00057779">
              <w:rPr>
                <w:rFonts w:ascii="Times" w:hAnsi="Times" w:cs="Times"/>
                <w:sz w:val="22"/>
                <w:szCs w:val="22"/>
              </w:rPr>
              <w:t>876</w:t>
            </w:r>
          </w:p>
        </w:tc>
        <w:tc>
          <w:tcPr>
            <w:tcW w:w="2518" w:type="dxa"/>
            <w:vAlign w:val="center"/>
          </w:tcPr>
          <w:p w14:paraId="54264E37" w14:textId="77777777" w:rsidR="00DD1D1A" w:rsidRPr="00057779" w:rsidRDefault="00DD1D1A" w:rsidP="001C1FF2">
            <w:pPr>
              <w:pStyle w:val="NormalWeb"/>
              <w:spacing w:before="0" w:beforeAutospacing="0" w:after="0" w:afterAutospacing="0"/>
              <w:jc w:val="center"/>
              <w:rPr>
                <w:rFonts w:ascii="Times" w:hAnsi="Times" w:cs="Times"/>
                <w:sz w:val="22"/>
                <w:szCs w:val="22"/>
              </w:rPr>
            </w:pPr>
            <w:r w:rsidRPr="00057779">
              <w:rPr>
                <w:rFonts w:ascii="Times" w:hAnsi="Times" w:cs="Times"/>
                <w:sz w:val="22"/>
                <w:szCs w:val="22"/>
              </w:rPr>
              <w:t>8.2%</w:t>
            </w:r>
          </w:p>
        </w:tc>
      </w:tr>
      <w:tr w:rsidR="00DD1D1A" w14:paraId="5B307922" w14:textId="77777777" w:rsidTr="00E26CD2">
        <w:trPr>
          <w:trHeight w:val="762"/>
        </w:trPr>
        <w:tc>
          <w:tcPr>
            <w:tcW w:w="4315" w:type="dxa"/>
            <w:vAlign w:val="center"/>
          </w:tcPr>
          <w:p w14:paraId="1EB2456C" w14:textId="77777777" w:rsidR="00DD1D1A" w:rsidRPr="00057779" w:rsidRDefault="00DD1D1A" w:rsidP="001C1FF2">
            <w:pPr>
              <w:pStyle w:val="NormalWeb"/>
              <w:spacing w:before="0" w:beforeAutospacing="0" w:after="0" w:afterAutospacing="0"/>
              <w:jc w:val="center"/>
              <w:rPr>
                <w:rFonts w:ascii="Times" w:hAnsi="Times" w:cs="Times"/>
                <w:sz w:val="22"/>
                <w:szCs w:val="22"/>
              </w:rPr>
            </w:pPr>
            <w:r w:rsidRPr="00057779">
              <w:rPr>
                <w:rFonts w:ascii="Times" w:hAnsi="Times" w:cs="Times"/>
                <w:sz w:val="22"/>
                <w:szCs w:val="22"/>
              </w:rPr>
              <w:t>Indian (Indian Subcontinent-Indian, Pakistan, Nepal, Bhutan, Bangladesh, Sri Lanka, Maldives)</w:t>
            </w:r>
          </w:p>
        </w:tc>
        <w:tc>
          <w:tcPr>
            <w:tcW w:w="2517" w:type="dxa"/>
            <w:vAlign w:val="center"/>
          </w:tcPr>
          <w:p w14:paraId="381DF4D6" w14:textId="77777777" w:rsidR="00DD1D1A" w:rsidRPr="00057779" w:rsidRDefault="00DD1D1A" w:rsidP="001C1FF2">
            <w:pPr>
              <w:pStyle w:val="NormalWeb"/>
              <w:spacing w:before="0" w:beforeAutospacing="0" w:after="0" w:afterAutospacing="0"/>
              <w:jc w:val="center"/>
              <w:rPr>
                <w:rFonts w:ascii="Times" w:hAnsi="Times" w:cs="Times"/>
                <w:sz w:val="22"/>
                <w:szCs w:val="22"/>
              </w:rPr>
            </w:pPr>
            <w:r w:rsidRPr="00057779">
              <w:rPr>
                <w:rFonts w:ascii="Times" w:hAnsi="Times" w:cs="Times"/>
                <w:sz w:val="22"/>
                <w:szCs w:val="22"/>
              </w:rPr>
              <w:t>1886</w:t>
            </w:r>
          </w:p>
        </w:tc>
        <w:tc>
          <w:tcPr>
            <w:tcW w:w="2518" w:type="dxa"/>
            <w:vAlign w:val="center"/>
          </w:tcPr>
          <w:p w14:paraId="70467CD9" w14:textId="77777777" w:rsidR="00DD1D1A" w:rsidRPr="00057779" w:rsidRDefault="00DD1D1A" w:rsidP="001C1FF2">
            <w:pPr>
              <w:pStyle w:val="NormalWeb"/>
              <w:spacing w:before="0" w:beforeAutospacing="0" w:after="0" w:afterAutospacing="0"/>
              <w:jc w:val="center"/>
              <w:rPr>
                <w:rFonts w:ascii="Times" w:hAnsi="Times" w:cs="Times"/>
                <w:sz w:val="22"/>
                <w:szCs w:val="22"/>
              </w:rPr>
            </w:pPr>
            <w:r w:rsidRPr="00057779">
              <w:rPr>
                <w:rFonts w:ascii="Times" w:hAnsi="Times" w:cs="Times"/>
                <w:sz w:val="22"/>
                <w:szCs w:val="22"/>
              </w:rPr>
              <w:t>17.7%</w:t>
            </w:r>
          </w:p>
        </w:tc>
      </w:tr>
      <w:tr w:rsidR="00DD1D1A" w14:paraId="588EB713" w14:textId="77777777" w:rsidTr="00E26CD2">
        <w:trPr>
          <w:trHeight w:val="762"/>
        </w:trPr>
        <w:tc>
          <w:tcPr>
            <w:tcW w:w="4315" w:type="dxa"/>
            <w:vAlign w:val="center"/>
          </w:tcPr>
          <w:p w14:paraId="6DA3E132" w14:textId="77777777" w:rsidR="00DD1D1A" w:rsidRPr="00057779" w:rsidRDefault="00DD1D1A" w:rsidP="001C1FF2">
            <w:pPr>
              <w:pStyle w:val="NormalWeb"/>
              <w:spacing w:before="0" w:beforeAutospacing="0" w:after="0" w:afterAutospacing="0"/>
              <w:jc w:val="center"/>
              <w:rPr>
                <w:rFonts w:ascii="Times" w:hAnsi="Times" w:cs="Times"/>
                <w:sz w:val="22"/>
                <w:szCs w:val="22"/>
              </w:rPr>
            </w:pPr>
            <w:r w:rsidRPr="00057779">
              <w:rPr>
                <w:rFonts w:ascii="Times" w:hAnsi="Times" w:cs="Times"/>
                <w:sz w:val="22"/>
                <w:szCs w:val="22"/>
              </w:rPr>
              <w:t>Unspecified</w:t>
            </w:r>
          </w:p>
        </w:tc>
        <w:tc>
          <w:tcPr>
            <w:tcW w:w="2517" w:type="dxa"/>
            <w:vAlign w:val="center"/>
          </w:tcPr>
          <w:p w14:paraId="43031ED2" w14:textId="77777777" w:rsidR="00DD1D1A" w:rsidRPr="00057779" w:rsidRDefault="00DD1D1A" w:rsidP="001C1FF2">
            <w:pPr>
              <w:pStyle w:val="NormalWeb"/>
              <w:spacing w:before="0" w:beforeAutospacing="0" w:after="0" w:afterAutospacing="0"/>
              <w:jc w:val="center"/>
              <w:rPr>
                <w:rFonts w:ascii="Times" w:hAnsi="Times" w:cs="Times"/>
                <w:sz w:val="22"/>
                <w:szCs w:val="22"/>
              </w:rPr>
            </w:pPr>
            <w:r w:rsidRPr="00057779">
              <w:rPr>
                <w:rFonts w:ascii="Times" w:hAnsi="Times" w:cs="Times"/>
                <w:sz w:val="22"/>
                <w:szCs w:val="22"/>
              </w:rPr>
              <w:t>5404</w:t>
            </w:r>
          </w:p>
        </w:tc>
        <w:tc>
          <w:tcPr>
            <w:tcW w:w="2518" w:type="dxa"/>
            <w:vAlign w:val="center"/>
          </w:tcPr>
          <w:p w14:paraId="69C2283E" w14:textId="77777777" w:rsidR="00DD1D1A" w:rsidRPr="00057779" w:rsidRDefault="00DD1D1A" w:rsidP="001C1FF2">
            <w:pPr>
              <w:pStyle w:val="NormalWeb"/>
              <w:spacing w:before="0" w:beforeAutospacing="0" w:after="0" w:afterAutospacing="0"/>
              <w:jc w:val="center"/>
              <w:rPr>
                <w:rFonts w:ascii="Times" w:hAnsi="Times" w:cs="Times"/>
                <w:sz w:val="22"/>
                <w:szCs w:val="22"/>
              </w:rPr>
            </w:pPr>
            <w:r w:rsidRPr="00057779">
              <w:rPr>
                <w:rFonts w:ascii="Times" w:hAnsi="Times" w:cs="Times"/>
                <w:sz w:val="22"/>
                <w:szCs w:val="22"/>
              </w:rPr>
              <w:t>50.7%</w:t>
            </w:r>
          </w:p>
        </w:tc>
      </w:tr>
      <w:tr w:rsidR="00DD1D1A" w14:paraId="7A20BF63" w14:textId="77777777" w:rsidTr="00E26CD2">
        <w:trPr>
          <w:trHeight w:val="762"/>
        </w:trPr>
        <w:tc>
          <w:tcPr>
            <w:tcW w:w="4315" w:type="dxa"/>
            <w:vAlign w:val="center"/>
          </w:tcPr>
          <w:p w14:paraId="76124AF6" w14:textId="77777777" w:rsidR="00DD1D1A" w:rsidRPr="00057779" w:rsidRDefault="00DD1D1A" w:rsidP="001C1FF2">
            <w:pPr>
              <w:pStyle w:val="NormalWeb"/>
              <w:spacing w:before="0" w:beforeAutospacing="0" w:after="0" w:afterAutospacing="0"/>
              <w:jc w:val="center"/>
              <w:rPr>
                <w:rFonts w:ascii="Times" w:hAnsi="Times" w:cs="Times"/>
                <w:sz w:val="22"/>
                <w:szCs w:val="22"/>
              </w:rPr>
            </w:pPr>
            <w:r w:rsidRPr="00057779">
              <w:rPr>
                <w:rFonts w:ascii="Times" w:hAnsi="Times" w:cs="Times"/>
                <w:sz w:val="22"/>
                <w:szCs w:val="22"/>
              </w:rPr>
              <w:t>Missing</w:t>
            </w:r>
          </w:p>
        </w:tc>
        <w:tc>
          <w:tcPr>
            <w:tcW w:w="2517" w:type="dxa"/>
            <w:vAlign w:val="center"/>
          </w:tcPr>
          <w:p w14:paraId="36D2B142" w14:textId="77777777" w:rsidR="00DD1D1A" w:rsidRPr="00057779" w:rsidRDefault="00DD1D1A" w:rsidP="001C1FF2">
            <w:pPr>
              <w:pStyle w:val="NormalWeb"/>
              <w:spacing w:before="0" w:beforeAutospacing="0" w:after="0" w:afterAutospacing="0"/>
              <w:jc w:val="center"/>
              <w:rPr>
                <w:rFonts w:ascii="Times" w:hAnsi="Times" w:cs="Times"/>
                <w:sz w:val="22"/>
                <w:szCs w:val="22"/>
              </w:rPr>
            </w:pPr>
            <w:r w:rsidRPr="00057779">
              <w:rPr>
                <w:rFonts w:ascii="Times" w:hAnsi="Times" w:cs="Times"/>
                <w:sz w:val="22"/>
                <w:szCs w:val="22"/>
              </w:rPr>
              <w:t>1977</w:t>
            </w:r>
          </w:p>
        </w:tc>
        <w:tc>
          <w:tcPr>
            <w:tcW w:w="2518" w:type="dxa"/>
            <w:vAlign w:val="center"/>
          </w:tcPr>
          <w:p w14:paraId="4BE70E69" w14:textId="77777777" w:rsidR="00DD1D1A" w:rsidRPr="00057779" w:rsidRDefault="00DD1D1A" w:rsidP="001C1FF2">
            <w:pPr>
              <w:pStyle w:val="NormalWeb"/>
              <w:spacing w:before="0" w:beforeAutospacing="0" w:after="0" w:afterAutospacing="0"/>
              <w:jc w:val="center"/>
              <w:rPr>
                <w:rFonts w:ascii="Times" w:hAnsi="Times" w:cs="Times"/>
                <w:sz w:val="22"/>
                <w:szCs w:val="22"/>
              </w:rPr>
            </w:pPr>
            <w:r w:rsidRPr="00057779">
              <w:rPr>
                <w:rFonts w:ascii="Times" w:hAnsi="Times" w:cs="Times"/>
                <w:sz w:val="22"/>
                <w:szCs w:val="22"/>
              </w:rPr>
              <w:t>18.6%</w:t>
            </w:r>
          </w:p>
        </w:tc>
      </w:tr>
    </w:tbl>
    <w:p w14:paraId="2DF5B19E" w14:textId="45ABC0E8" w:rsidR="005F0C42" w:rsidRDefault="005F0C42" w:rsidP="00833A03">
      <w:pPr>
        <w:pStyle w:val="NormalWeb"/>
        <w:spacing w:before="0" w:beforeAutospacing="0" w:after="0" w:afterAutospacing="0" w:line="480" w:lineRule="auto"/>
        <w:rPr>
          <w:rFonts w:ascii="Times" w:hAnsi="Times" w:cs="Times"/>
        </w:rPr>
      </w:pPr>
    </w:p>
    <w:p w14:paraId="69145B32" w14:textId="3209995C" w:rsidR="005F0C42" w:rsidRDefault="005F0C42" w:rsidP="00833A03">
      <w:pPr>
        <w:pStyle w:val="NormalWeb"/>
        <w:spacing w:before="0" w:beforeAutospacing="0" w:after="0" w:afterAutospacing="0" w:line="480" w:lineRule="auto"/>
        <w:rPr>
          <w:rFonts w:ascii="Times" w:hAnsi="Times" w:cs="Times"/>
        </w:rPr>
      </w:pPr>
    </w:p>
    <w:p w14:paraId="354D30EB" w14:textId="6D5A80AF" w:rsidR="001C1FF2" w:rsidRDefault="001C1FF2" w:rsidP="00833A03">
      <w:pPr>
        <w:pStyle w:val="NormalWeb"/>
        <w:spacing w:before="0" w:beforeAutospacing="0" w:after="0" w:afterAutospacing="0" w:line="480" w:lineRule="auto"/>
        <w:rPr>
          <w:rFonts w:ascii="Times" w:hAnsi="Times" w:cs="Times"/>
        </w:rPr>
      </w:pPr>
    </w:p>
    <w:p w14:paraId="4407A732" w14:textId="74A5F91C" w:rsidR="001C1FF2" w:rsidRDefault="001C1FF2" w:rsidP="00833A03">
      <w:pPr>
        <w:pStyle w:val="NormalWeb"/>
        <w:spacing w:before="0" w:beforeAutospacing="0" w:after="0" w:afterAutospacing="0" w:line="480" w:lineRule="auto"/>
        <w:rPr>
          <w:rFonts w:ascii="Times" w:hAnsi="Times" w:cs="Times"/>
        </w:rPr>
      </w:pPr>
    </w:p>
    <w:p w14:paraId="1E52A01C" w14:textId="62D50C3D" w:rsidR="001C1FF2" w:rsidRDefault="001C1FF2" w:rsidP="00833A03">
      <w:pPr>
        <w:pStyle w:val="NormalWeb"/>
        <w:spacing w:before="0" w:beforeAutospacing="0" w:after="0" w:afterAutospacing="0" w:line="480" w:lineRule="auto"/>
        <w:rPr>
          <w:rFonts w:ascii="Times" w:hAnsi="Times" w:cs="Times"/>
        </w:rPr>
      </w:pPr>
    </w:p>
    <w:p w14:paraId="22437799" w14:textId="6F689875" w:rsidR="001C1FF2" w:rsidRDefault="001C1FF2" w:rsidP="00833A03">
      <w:pPr>
        <w:pStyle w:val="NormalWeb"/>
        <w:spacing w:before="0" w:beforeAutospacing="0" w:after="0" w:afterAutospacing="0" w:line="480" w:lineRule="auto"/>
        <w:rPr>
          <w:rFonts w:ascii="Times" w:hAnsi="Times" w:cs="Times"/>
        </w:rPr>
      </w:pPr>
    </w:p>
    <w:p w14:paraId="1AADC129" w14:textId="16D7F0BA" w:rsidR="006F7C19" w:rsidRDefault="006F7C19" w:rsidP="00833A03">
      <w:pPr>
        <w:pStyle w:val="NormalWeb"/>
        <w:spacing w:before="0" w:beforeAutospacing="0" w:after="0" w:afterAutospacing="0" w:line="480" w:lineRule="auto"/>
        <w:rPr>
          <w:rFonts w:ascii="Times" w:hAnsi="Times" w:cs="Times"/>
        </w:rPr>
      </w:pPr>
    </w:p>
    <w:p w14:paraId="42CD99B0" w14:textId="648DBDB1" w:rsidR="001C1FF2" w:rsidRDefault="001C1FF2" w:rsidP="00833A03">
      <w:pPr>
        <w:pStyle w:val="NormalWeb"/>
        <w:spacing w:before="0" w:beforeAutospacing="0" w:after="0" w:afterAutospacing="0" w:line="480" w:lineRule="auto"/>
        <w:rPr>
          <w:rFonts w:ascii="Times" w:hAnsi="Times" w:cs="Times"/>
        </w:rPr>
      </w:pPr>
    </w:p>
    <w:p w14:paraId="2FACF091" w14:textId="77777777" w:rsidR="001C1FF2" w:rsidRDefault="001C1FF2" w:rsidP="00833A03">
      <w:pPr>
        <w:pStyle w:val="NormalWeb"/>
        <w:spacing w:before="0" w:beforeAutospacing="0" w:after="0" w:afterAutospacing="0" w:line="480" w:lineRule="auto"/>
        <w:rPr>
          <w:rFonts w:ascii="Times" w:hAnsi="Times" w:cs="Times"/>
        </w:rPr>
      </w:pPr>
    </w:p>
    <w:p w14:paraId="6779E27D" w14:textId="77777777" w:rsidR="00E26CD2" w:rsidRDefault="00E26CD2" w:rsidP="008A20ED">
      <w:pPr>
        <w:pStyle w:val="NormalWeb"/>
        <w:spacing w:before="0" w:beforeAutospacing="0" w:after="0" w:afterAutospacing="0" w:line="480" w:lineRule="auto"/>
        <w:jc w:val="center"/>
        <w:rPr>
          <w:rFonts w:ascii="Times" w:hAnsi="Times" w:cs="Times"/>
          <w:b/>
          <w:bCs/>
        </w:rPr>
        <w:sectPr w:rsidR="00E26CD2" w:rsidSect="00E26CD2">
          <w:pgSz w:w="15840" w:h="12240" w:orient="landscape"/>
          <w:pgMar w:top="1440" w:right="1440" w:bottom="1440" w:left="1440" w:header="576" w:footer="720" w:gutter="0"/>
          <w:cols w:space="720"/>
          <w:docGrid w:linePitch="360"/>
        </w:sectPr>
      </w:pPr>
    </w:p>
    <w:p w14:paraId="26197BE9" w14:textId="3A4AED2E" w:rsidR="00CE715A" w:rsidRPr="00FD4A22" w:rsidRDefault="00CE715A" w:rsidP="00C15730">
      <w:pPr>
        <w:pStyle w:val="NormalWeb"/>
        <w:spacing w:before="0" w:beforeAutospacing="0" w:after="0" w:afterAutospacing="0" w:line="480" w:lineRule="auto"/>
        <w:rPr>
          <w:rFonts w:ascii="Times" w:hAnsi="Times" w:cs="Times"/>
          <w:b/>
          <w:bCs/>
        </w:rPr>
      </w:pPr>
      <w:r w:rsidRPr="00FD4A22">
        <w:rPr>
          <w:rFonts w:ascii="Times" w:hAnsi="Times" w:cs="Times"/>
          <w:b/>
          <w:bCs/>
        </w:rPr>
        <w:t>References</w:t>
      </w:r>
    </w:p>
    <w:p w14:paraId="7D428E08" w14:textId="6488FBC3" w:rsidR="00EC497E" w:rsidRPr="00EC497E" w:rsidRDefault="0010004B" w:rsidP="00EC497E">
      <w:pPr>
        <w:widowControl w:val="0"/>
        <w:autoSpaceDE w:val="0"/>
        <w:autoSpaceDN w:val="0"/>
        <w:adjustRightInd w:val="0"/>
        <w:spacing w:line="480" w:lineRule="auto"/>
        <w:ind w:left="640" w:hanging="640"/>
        <w:rPr>
          <w:noProof/>
        </w:rPr>
      </w:pPr>
      <w:r>
        <w:fldChar w:fldCharType="begin" w:fldLock="1"/>
      </w:r>
      <w:r>
        <w:instrText xml:space="preserve">ADDIN Mendeley Bibliography CSL_BIBLIOGRAPHY </w:instrText>
      </w:r>
      <w:r>
        <w:fldChar w:fldCharType="separate"/>
      </w:r>
      <w:r w:rsidR="00EC497E" w:rsidRPr="00EC497E">
        <w:rPr>
          <w:noProof/>
        </w:rPr>
        <w:t xml:space="preserve">1. </w:t>
      </w:r>
      <w:r w:rsidR="00EC497E" w:rsidRPr="00EC497E">
        <w:rPr>
          <w:noProof/>
        </w:rPr>
        <w:tab/>
        <w:t xml:space="preserve">Bryant AS, Worjoloh A, Caughey AB, Washington AE. Racial/ethnic disparities in obstetric outcomes and care: prevalence and determinants. </w:t>
      </w:r>
      <w:r w:rsidR="00EC497E" w:rsidRPr="00EC497E">
        <w:rPr>
          <w:i/>
          <w:iCs/>
          <w:noProof/>
        </w:rPr>
        <w:t>Am J Obstet Gynecol</w:t>
      </w:r>
      <w:r w:rsidR="00EC497E" w:rsidRPr="00EC497E">
        <w:rPr>
          <w:noProof/>
        </w:rPr>
        <w:t>. 2010;202(4):335-343. doi:10.1016/j.ajog.2009.10.864</w:t>
      </w:r>
    </w:p>
    <w:p w14:paraId="7D4FB95F" w14:textId="77777777" w:rsidR="00EC497E" w:rsidRPr="00EC497E" w:rsidRDefault="00EC497E" w:rsidP="00EC497E">
      <w:pPr>
        <w:widowControl w:val="0"/>
        <w:autoSpaceDE w:val="0"/>
        <w:autoSpaceDN w:val="0"/>
        <w:adjustRightInd w:val="0"/>
        <w:spacing w:line="480" w:lineRule="auto"/>
        <w:ind w:left="640" w:hanging="640"/>
        <w:rPr>
          <w:noProof/>
        </w:rPr>
      </w:pPr>
      <w:r w:rsidRPr="00EC497E">
        <w:rPr>
          <w:noProof/>
        </w:rPr>
        <w:t xml:space="preserve">2. </w:t>
      </w:r>
      <w:r w:rsidRPr="00EC497E">
        <w:rPr>
          <w:noProof/>
        </w:rPr>
        <w:tab/>
        <w:t xml:space="preserve">Admon LK, Winkelman TNA, Zivin K, Terplan M, Mhyre JM, Dalton VK. Racial and ethnic disparities in the incidence of severe maternal morbidity in the United States, 2012-2015. </w:t>
      </w:r>
      <w:r w:rsidRPr="00EC497E">
        <w:rPr>
          <w:i/>
          <w:iCs/>
          <w:noProof/>
        </w:rPr>
        <w:t>Obstet Gynecol</w:t>
      </w:r>
      <w:r w:rsidRPr="00EC497E">
        <w:rPr>
          <w:noProof/>
        </w:rPr>
        <w:t>. 2018;132(5):1158-1166. doi:10.1097/AOG.0000000000002937</w:t>
      </w:r>
    </w:p>
    <w:p w14:paraId="76876413" w14:textId="77777777" w:rsidR="00EC497E" w:rsidRPr="00EC497E" w:rsidRDefault="00EC497E" w:rsidP="00EC497E">
      <w:pPr>
        <w:widowControl w:val="0"/>
        <w:autoSpaceDE w:val="0"/>
        <w:autoSpaceDN w:val="0"/>
        <w:adjustRightInd w:val="0"/>
        <w:spacing w:line="480" w:lineRule="auto"/>
        <w:ind w:left="640" w:hanging="640"/>
        <w:rPr>
          <w:noProof/>
        </w:rPr>
      </w:pPr>
      <w:r w:rsidRPr="00EC497E">
        <w:rPr>
          <w:noProof/>
        </w:rPr>
        <w:t xml:space="preserve">3. </w:t>
      </w:r>
      <w:r w:rsidRPr="00EC497E">
        <w:rPr>
          <w:noProof/>
        </w:rPr>
        <w:tab/>
        <w:t xml:space="preserve">Petersen EE, Davis NL, Goodman D, et al. </w:t>
      </w:r>
      <w:r w:rsidRPr="00EC497E">
        <w:rPr>
          <w:i/>
          <w:iCs/>
          <w:noProof/>
        </w:rPr>
        <w:t>Vital Signs:</w:t>
      </w:r>
      <w:r w:rsidRPr="00EC497E">
        <w:rPr>
          <w:noProof/>
        </w:rPr>
        <w:t xml:space="preserve"> Pregnancy-Related Deaths, United States, 2011–2015, and Strategies for Prevention, 13 States, 2013–2017. </w:t>
      </w:r>
      <w:r w:rsidRPr="00EC497E">
        <w:rPr>
          <w:i/>
          <w:iCs/>
          <w:noProof/>
        </w:rPr>
        <w:t>MMWR Morb Mortal Wkly Rep</w:t>
      </w:r>
      <w:r w:rsidRPr="00EC497E">
        <w:rPr>
          <w:noProof/>
        </w:rPr>
        <w:t>. 2019;68(18):423-429. doi:10.15585/mmwr.mm6818e1</w:t>
      </w:r>
    </w:p>
    <w:p w14:paraId="431722C4" w14:textId="77777777" w:rsidR="00EC497E" w:rsidRPr="00EC497E" w:rsidRDefault="00EC497E" w:rsidP="00EC497E">
      <w:pPr>
        <w:widowControl w:val="0"/>
        <w:autoSpaceDE w:val="0"/>
        <w:autoSpaceDN w:val="0"/>
        <w:adjustRightInd w:val="0"/>
        <w:spacing w:line="480" w:lineRule="auto"/>
        <w:ind w:left="640" w:hanging="640"/>
        <w:rPr>
          <w:noProof/>
        </w:rPr>
      </w:pPr>
      <w:r w:rsidRPr="00EC497E">
        <w:rPr>
          <w:noProof/>
        </w:rPr>
        <w:t xml:space="preserve">4. </w:t>
      </w:r>
      <w:r w:rsidRPr="00EC497E">
        <w:rPr>
          <w:noProof/>
        </w:rPr>
        <w:tab/>
        <w:t xml:space="preserve">Creanga AA, Bateman BT, Kuklina E V., Callaghan WM. Racial and ethnic disparities in severe maternal morbidity: A multistate analysis, 2008-2010. </w:t>
      </w:r>
      <w:r w:rsidRPr="00EC497E">
        <w:rPr>
          <w:i/>
          <w:iCs/>
          <w:noProof/>
        </w:rPr>
        <w:t>Am J Obstet Gynecol</w:t>
      </w:r>
      <w:r w:rsidRPr="00EC497E">
        <w:rPr>
          <w:noProof/>
        </w:rPr>
        <w:t>. 2014;210(5):435.e1-435.e8. doi:10.1016/j.ajog.2013.11.039</w:t>
      </w:r>
    </w:p>
    <w:p w14:paraId="699D8866" w14:textId="77777777" w:rsidR="00EC497E" w:rsidRPr="00EC497E" w:rsidRDefault="00EC497E" w:rsidP="00EC497E">
      <w:pPr>
        <w:widowControl w:val="0"/>
        <w:autoSpaceDE w:val="0"/>
        <w:autoSpaceDN w:val="0"/>
        <w:adjustRightInd w:val="0"/>
        <w:spacing w:line="480" w:lineRule="auto"/>
        <w:ind w:left="640" w:hanging="640"/>
        <w:rPr>
          <w:noProof/>
        </w:rPr>
      </w:pPr>
      <w:r w:rsidRPr="00EC497E">
        <w:rPr>
          <w:noProof/>
        </w:rPr>
        <w:t xml:space="preserve">5. </w:t>
      </w:r>
      <w:r w:rsidRPr="00EC497E">
        <w:rPr>
          <w:noProof/>
        </w:rPr>
        <w:tab/>
        <w:t xml:space="preserve">Gulersen M, Grunebaum A, Lenchner E, Chervenak FA, Bornstein E. Racial disparities in the administration of antenatal corticosteroids in women with preterm birth. </w:t>
      </w:r>
      <w:r w:rsidRPr="00EC497E">
        <w:rPr>
          <w:i/>
          <w:iCs/>
          <w:noProof/>
        </w:rPr>
        <w:t>Am J Obstet Gynecol</w:t>
      </w:r>
      <w:r w:rsidRPr="00EC497E">
        <w:rPr>
          <w:noProof/>
        </w:rPr>
        <w:t>. 2020;223(6). doi:10.1016/j.ajog.2020.07.015</w:t>
      </w:r>
    </w:p>
    <w:p w14:paraId="5B86B108" w14:textId="77777777" w:rsidR="00EC497E" w:rsidRPr="00EC497E" w:rsidRDefault="00EC497E" w:rsidP="00EC497E">
      <w:pPr>
        <w:widowControl w:val="0"/>
        <w:autoSpaceDE w:val="0"/>
        <w:autoSpaceDN w:val="0"/>
        <w:adjustRightInd w:val="0"/>
        <w:spacing w:line="480" w:lineRule="auto"/>
        <w:ind w:left="640" w:hanging="640"/>
        <w:rPr>
          <w:noProof/>
        </w:rPr>
      </w:pPr>
      <w:r w:rsidRPr="00EC497E">
        <w:rPr>
          <w:noProof/>
        </w:rPr>
        <w:t xml:space="preserve">6. </w:t>
      </w:r>
      <w:r w:rsidRPr="00EC497E">
        <w:rPr>
          <w:noProof/>
        </w:rPr>
        <w:tab/>
        <w:t xml:space="preserve">Bailit JL, Gregory KD, Srinivas S, Westover T, Grobman WA, Saade GR. </w:t>
      </w:r>
      <w:r w:rsidRPr="00EC497E">
        <w:rPr>
          <w:i/>
          <w:iCs/>
          <w:noProof/>
        </w:rPr>
        <w:t>Society for Maternal-Fetal Medicine (SMFM) Special Report: Current Approaches to Measuring Quality of Care in Obstetrics</w:t>
      </w:r>
      <w:r w:rsidRPr="00EC497E">
        <w:rPr>
          <w:noProof/>
        </w:rPr>
        <w:t>. Vol 215.; 2016. doi:10.1016/j.ajog.2016.06.048</w:t>
      </w:r>
    </w:p>
    <w:p w14:paraId="59426309" w14:textId="77777777" w:rsidR="00EC497E" w:rsidRPr="00EC497E" w:rsidRDefault="00EC497E" w:rsidP="00EC497E">
      <w:pPr>
        <w:widowControl w:val="0"/>
        <w:autoSpaceDE w:val="0"/>
        <w:autoSpaceDN w:val="0"/>
        <w:adjustRightInd w:val="0"/>
        <w:spacing w:line="480" w:lineRule="auto"/>
        <w:ind w:left="640" w:hanging="640"/>
        <w:rPr>
          <w:noProof/>
        </w:rPr>
      </w:pPr>
      <w:r w:rsidRPr="00EC497E">
        <w:rPr>
          <w:noProof/>
        </w:rPr>
        <w:t xml:space="preserve">7. </w:t>
      </w:r>
      <w:r w:rsidRPr="00EC497E">
        <w:rPr>
          <w:noProof/>
        </w:rPr>
        <w:tab/>
        <w:t xml:space="preserve">Davis N, Smoots A, Goodman D. </w:t>
      </w:r>
      <w:r w:rsidRPr="00EC497E">
        <w:rPr>
          <w:i/>
          <w:iCs/>
          <w:noProof/>
        </w:rPr>
        <w:t>Pregnancy-Related Deaths: Data from 14 U.S. Maternal Mortality Review Committees, 2008-2017</w:t>
      </w:r>
      <w:r w:rsidRPr="00EC497E">
        <w:rPr>
          <w:noProof/>
        </w:rPr>
        <w:t>.; 2019. Accessed December 8, 2020. https://www.cdc.gov/reproductivehealth/maternal-mortality/erase-mm/MMR-Data-Brief_2019-h.pdf</w:t>
      </w:r>
    </w:p>
    <w:p w14:paraId="62DE3605" w14:textId="77777777" w:rsidR="00EC497E" w:rsidRPr="00EC497E" w:rsidRDefault="00EC497E" w:rsidP="00EC497E">
      <w:pPr>
        <w:widowControl w:val="0"/>
        <w:autoSpaceDE w:val="0"/>
        <w:autoSpaceDN w:val="0"/>
        <w:adjustRightInd w:val="0"/>
        <w:spacing w:line="480" w:lineRule="auto"/>
        <w:ind w:left="640" w:hanging="640"/>
        <w:rPr>
          <w:noProof/>
        </w:rPr>
      </w:pPr>
      <w:r w:rsidRPr="00EC497E">
        <w:rPr>
          <w:noProof/>
        </w:rPr>
        <w:t xml:space="preserve">8. </w:t>
      </w:r>
      <w:r w:rsidRPr="00EC497E">
        <w:rPr>
          <w:noProof/>
        </w:rPr>
        <w:tab/>
        <w:t xml:space="preserve">Howell EA, Egorova NN, Janevic T, Balbierz A, Zeitlin J, Hebert PL. Severe maternal morbidity among Hispanic women in New York City: Investigation of health disparities. In: </w:t>
      </w:r>
      <w:r w:rsidRPr="00EC497E">
        <w:rPr>
          <w:i/>
          <w:iCs/>
          <w:noProof/>
        </w:rPr>
        <w:t>Obstetrics and Gynecology</w:t>
      </w:r>
      <w:r w:rsidRPr="00EC497E">
        <w:rPr>
          <w:noProof/>
        </w:rPr>
        <w:t>. Vol 129. Lippincott Williams and Wilkins; 2017:285-294. doi:10.1097/AOG.0000000000001864</w:t>
      </w:r>
    </w:p>
    <w:p w14:paraId="01CB5149" w14:textId="77777777" w:rsidR="00EC497E" w:rsidRPr="00EC497E" w:rsidRDefault="00EC497E" w:rsidP="00EC497E">
      <w:pPr>
        <w:widowControl w:val="0"/>
        <w:autoSpaceDE w:val="0"/>
        <w:autoSpaceDN w:val="0"/>
        <w:adjustRightInd w:val="0"/>
        <w:spacing w:line="480" w:lineRule="auto"/>
        <w:ind w:left="640" w:hanging="640"/>
        <w:rPr>
          <w:noProof/>
        </w:rPr>
      </w:pPr>
      <w:r w:rsidRPr="00EC497E">
        <w:rPr>
          <w:noProof/>
        </w:rPr>
        <w:t xml:space="preserve">9. </w:t>
      </w:r>
      <w:r w:rsidRPr="00EC497E">
        <w:rPr>
          <w:noProof/>
        </w:rPr>
        <w:tab/>
        <w:t>Anderson NB, Bulatao RA, Cohen B, National Research Council (US) Panel on Race E and H in LL. Geography and Racial Health Disparities. Published online 2004. Accessed June 28, 2020. https://www.ncbi.nlm.nih.gov/books/NBK25524/</w:t>
      </w:r>
    </w:p>
    <w:p w14:paraId="6FFA0D79" w14:textId="77777777" w:rsidR="00EC497E" w:rsidRPr="00EC497E" w:rsidRDefault="00EC497E" w:rsidP="00EC497E">
      <w:pPr>
        <w:widowControl w:val="0"/>
        <w:autoSpaceDE w:val="0"/>
        <w:autoSpaceDN w:val="0"/>
        <w:adjustRightInd w:val="0"/>
        <w:spacing w:line="480" w:lineRule="auto"/>
        <w:ind w:left="640" w:hanging="640"/>
        <w:rPr>
          <w:noProof/>
        </w:rPr>
      </w:pPr>
      <w:r w:rsidRPr="00EC497E">
        <w:rPr>
          <w:noProof/>
        </w:rPr>
        <w:t xml:space="preserve">10. </w:t>
      </w:r>
      <w:r w:rsidRPr="00EC497E">
        <w:rPr>
          <w:noProof/>
        </w:rPr>
        <w:tab/>
        <w:t xml:space="preserve">Miller EC, Zambrano Espinoza MD, Huang Y, et al. Maternal Race/Ethnicity, Hypertension, and Risk for Stroke During Delivery Admission. </w:t>
      </w:r>
      <w:r w:rsidRPr="00EC497E">
        <w:rPr>
          <w:i/>
          <w:iCs/>
          <w:noProof/>
        </w:rPr>
        <w:t>J Am Heart Assoc</w:t>
      </w:r>
      <w:r w:rsidRPr="00EC497E">
        <w:rPr>
          <w:noProof/>
        </w:rPr>
        <w:t>. 2020;9(3). doi:10.1161/JAHA.119.014775</w:t>
      </w:r>
    </w:p>
    <w:p w14:paraId="66E3BE63" w14:textId="77777777" w:rsidR="00EC497E" w:rsidRPr="00EC497E" w:rsidRDefault="00EC497E" w:rsidP="00EC497E">
      <w:pPr>
        <w:widowControl w:val="0"/>
        <w:autoSpaceDE w:val="0"/>
        <w:autoSpaceDN w:val="0"/>
        <w:adjustRightInd w:val="0"/>
        <w:spacing w:line="480" w:lineRule="auto"/>
        <w:ind w:left="640" w:hanging="640"/>
        <w:rPr>
          <w:noProof/>
        </w:rPr>
      </w:pPr>
      <w:r w:rsidRPr="00EC497E">
        <w:rPr>
          <w:noProof/>
        </w:rPr>
        <w:t xml:space="preserve">11. </w:t>
      </w:r>
      <w:r w:rsidRPr="00EC497E">
        <w:rPr>
          <w:noProof/>
        </w:rPr>
        <w:tab/>
        <w:t xml:space="preserve">Souter V, Kauffman E, Marshall AJ, Katon JG. Assessing the potential impact of extending antenatal steroids to the late preterm period. </w:t>
      </w:r>
      <w:r w:rsidRPr="00EC497E">
        <w:rPr>
          <w:i/>
          <w:iCs/>
          <w:noProof/>
        </w:rPr>
        <w:t>Am J Obstet Gynecol</w:t>
      </w:r>
      <w:r w:rsidRPr="00EC497E">
        <w:rPr>
          <w:noProof/>
        </w:rPr>
        <w:t>. 2017;217(4):461.e1-461.e7. doi:10.1016/j.ajog.2017.04.029</w:t>
      </w:r>
    </w:p>
    <w:p w14:paraId="4A0BCE3B" w14:textId="77777777" w:rsidR="00EC497E" w:rsidRPr="00EC497E" w:rsidRDefault="00EC497E" w:rsidP="00EC497E">
      <w:pPr>
        <w:widowControl w:val="0"/>
        <w:autoSpaceDE w:val="0"/>
        <w:autoSpaceDN w:val="0"/>
        <w:adjustRightInd w:val="0"/>
        <w:spacing w:line="480" w:lineRule="auto"/>
        <w:ind w:left="640" w:hanging="640"/>
        <w:rPr>
          <w:noProof/>
        </w:rPr>
      </w:pPr>
      <w:r w:rsidRPr="00EC497E">
        <w:rPr>
          <w:noProof/>
        </w:rPr>
        <w:t xml:space="preserve">12. </w:t>
      </w:r>
      <w:r w:rsidRPr="00EC497E">
        <w:rPr>
          <w:noProof/>
        </w:rPr>
        <w:tab/>
        <w:t xml:space="preserve">Aseltine RH, Yan J, Fleischman S, Katz M, DeFrancesco M. Racial and Ethnic Disparities in Hospital Readmissions After Delivery. </w:t>
      </w:r>
      <w:r w:rsidRPr="00EC497E">
        <w:rPr>
          <w:i/>
          <w:iCs/>
          <w:noProof/>
        </w:rPr>
        <w:t>Obstet Gynecol</w:t>
      </w:r>
      <w:r w:rsidRPr="00EC497E">
        <w:rPr>
          <w:noProof/>
        </w:rPr>
        <w:t>. 2015;126(5):1040-1047. doi:10.1097/AOG.0000000000001090</w:t>
      </w:r>
    </w:p>
    <w:p w14:paraId="41F38759" w14:textId="77777777" w:rsidR="00EC497E" w:rsidRPr="00EC497E" w:rsidRDefault="00EC497E" w:rsidP="00EC497E">
      <w:pPr>
        <w:widowControl w:val="0"/>
        <w:autoSpaceDE w:val="0"/>
        <w:autoSpaceDN w:val="0"/>
        <w:adjustRightInd w:val="0"/>
        <w:spacing w:line="480" w:lineRule="auto"/>
        <w:ind w:left="640" w:hanging="640"/>
        <w:rPr>
          <w:noProof/>
        </w:rPr>
      </w:pPr>
      <w:r w:rsidRPr="00EC497E">
        <w:rPr>
          <w:noProof/>
        </w:rPr>
        <w:t xml:space="preserve">13. </w:t>
      </w:r>
      <w:r w:rsidRPr="00EC497E">
        <w:rPr>
          <w:noProof/>
        </w:rPr>
        <w:tab/>
        <w:t xml:space="preserve">Green TL. Unpacking Racial/Ethnic Disparities in Prenatal Care Use: The Role of Individual-, Household-, and Area-Level Characteristics. </w:t>
      </w:r>
      <w:r w:rsidRPr="00EC497E">
        <w:rPr>
          <w:i/>
          <w:iCs/>
          <w:noProof/>
        </w:rPr>
        <w:t>J Women’s Heal</w:t>
      </w:r>
      <w:r w:rsidRPr="00EC497E">
        <w:rPr>
          <w:noProof/>
        </w:rPr>
        <w:t>. 2018;27(9):1124-1134. doi:10.1089/jwh.2017.6807</w:t>
      </w:r>
    </w:p>
    <w:p w14:paraId="369C39F9" w14:textId="77777777" w:rsidR="00EC497E" w:rsidRPr="00EC497E" w:rsidRDefault="00EC497E" w:rsidP="00EC497E">
      <w:pPr>
        <w:widowControl w:val="0"/>
        <w:autoSpaceDE w:val="0"/>
        <w:autoSpaceDN w:val="0"/>
        <w:adjustRightInd w:val="0"/>
        <w:spacing w:line="480" w:lineRule="auto"/>
        <w:ind w:left="640" w:hanging="640"/>
        <w:rPr>
          <w:noProof/>
        </w:rPr>
      </w:pPr>
      <w:r w:rsidRPr="00EC497E">
        <w:rPr>
          <w:noProof/>
        </w:rPr>
        <w:t xml:space="preserve">14. </w:t>
      </w:r>
      <w:r w:rsidRPr="00EC497E">
        <w:rPr>
          <w:noProof/>
        </w:rPr>
        <w:tab/>
        <w:t xml:space="preserve">Edmonds JK, Hawkins SS, Cohen BB. The influence of detailed maternal ethnicity on cesarean delivery: findings from the U.S. birth certificate in the State of Massachusetts. </w:t>
      </w:r>
      <w:r w:rsidRPr="00EC497E">
        <w:rPr>
          <w:i/>
          <w:iCs/>
          <w:noProof/>
        </w:rPr>
        <w:t>Birth</w:t>
      </w:r>
      <w:r w:rsidRPr="00EC497E">
        <w:rPr>
          <w:noProof/>
        </w:rPr>
        <w:t>. 2014;41(3):290-298. doi:10.1111/birt.12108</w:t>
      </w:r>
    </w:p>
    <w:p w14:paraId="2268DABA" w14:textId="77777777" w:rsidR="00EC497E" w:rsidRPr="00EC497E" w:rsidRDefault="00EC497E" w:rsidP="00EC497E">
      <w:pPr>
        <w:widowControl w:val="0"/>
        <w:autoSpaceDE w:val="0"/>
        <w:autoSpaceDN w:val="0"/>
        <w:adjustRightInd w:val="0"/>
        <w:spacing w:line="480" w:lineRule="auto"/>
        <w:ind w:left="640" w:hanging="640"/>
        <w:rPr>
          <w:noProof/>
        </w:rPr>
      </w:pPr>
      <w:r w:rsidRPr="00EC497E">
        <w:rPr>
          <w:noProof/>
        </w:rPr>
        <w:t xml:space="preserve">15. </w:t>
      </w:r>
      <w:r w:rsidRPr="00EC497E">
        <w:rPr>
          <w:noProof/>
        </w:rPr>
        <w:tab/>
        <w:t xml:space="preserve">Howell EA, Egorova NN, Janevic T, Balbierz A, Zeitlin J, Hebert PL. Severe maternal morbidity among Hispanic women in New York City: Investigation of health disparities. In: </w:t>
      </w:r>
      <w:r w:rsidRPr="00EC497E">
        <w:rPr>
          <w:i/>
          <w:iCs/>
          <w:noProof/>
        </w:rPr>
        <w:t>Obstetrics and Gynecology</w:t>
      </w:r>
      <w:r w:rsidRPr="00EC497E">
        <w:rPr>
          <w:noProof/>
        </w:rPr>
        <w:t>. Vol 129. Lippincott Williams and Wilkins; 2017:285-294. doi:10.1097/AOG.0000000000001864</w:t>
      </w:r>
    </w:p>
    <w:p w14:paraId="2B9BE02C" w14:textId="77777777" w:rsidR="00EC497E" w:rsidRPr="00EC497E" w:rsidRDefault="00EC497E" w:rsidP="00EC497E">
      <w:pPr>
        <w:widowControl w:val="0"/>
        <w:autoSpaceDE w:val="0"/>
        <w:autoSpaceDN w:val="0"/>
        <w:adjustRightInd w:val="0"/>
        <w:spacing w:line="480" w:lineRule="auto"/>
        <w:ind w:left="640" w:hanging="640"/>
        <w:rPr>
          <w:noProof/>
        </w:rPr>
      </w:pPr>
      <w:r w:rsidRPr="00EC497E">
        <w:rPr>
          <w:noProof/>
        </w:rPr>
        <w:t xml:space="preserve">16. </w:t>
      </w:r>
      <w:r w:rsidRPr="00EC497E">
        <w:rPr>
          <w:noProof/>
        </w:rPr>
        <w:tab/>
        <w:t xml:space="preserve">Hopkins LM, Caughey AB, Glidden D V., Laros RK. Racial/ethnic differences in perineal, vaginal and cervical lacerations. </w:t>
      </w:r>
      <w:r w:rsidRPr="00EC497E">
        <w:rPr>
          <w:i/>
          <w:iCs/>
          <w:noProof/>
        </w:rPr>
        <w:t>Am J Obstet Gynecol</w:t>
      </w:r>
      <w:r w:rsidRPr="00EC497E">
        <w:rPr>
          <w:noProof/>
        </w:rPr>
        <w:t>. 2005;193(2):455-459. doi:10.1016/j.ajog.2004.12.007</w:t>
      </w:r>
    </w:p>
    <w:p w14:paraId="15F3C038" w14:textId="77777777" w:rsidR="00EC497E" w:rsidRPr="00EC497E" w:rsidRDefault="00EC497E" w:rsidP="00EC497E">
      <w:pPr>
        <w:widowControl w:val="0"/>
        <w:autoSpaceDE w:val="0"/>
        <w:autoSpaceDN w:val="0"/>
        <w:adjustRightInd w:val="0"/>
        <w:spacing w:line="480" w:lineRule="auto"/>
        <w:ind w:left="640" w:hanging="640"/>
        <w:rPr>
          <w:noProof/>
        </w:rPr>
      </w:pPr>
      <w:r w:rsidRPr="00EC497E">
        <w:rPr>
          <w:noProof/>
        </w:rPr>
        <w:t xml:space="preserve">17. </w:t>
      </w:r>
      <w:r w:rsidRPr="00EC497E">
        <w:rPr>
          <w:noProof/>
        </w:rPr>
        <w:tab/>
        <w:t xml:space="preserve">Admon LK, Winkelman TNA, Zivin K, Terplan M, Mhyre JM, Dalton VK. Racial and ethnic disparities in the incidence of severe maternal morbidity in the United States, 2012-2015. </w:t>
      </w:r>
      <w:r w:rsidRPr="00EC497E">
        <w:rPr>
          <w:i/>
          <w:iCs/>
          <w:noProof/>
        </w:rPr>
        <w:t>Obstet Gynecol</w:t>
      </w:r>
      <w:r w:rsidRPr="00EC497E">
        <w:rPr>
          <w:noProof/>
        </w:rPr>
        <w:t>. 2018;132(5):1158-1166. doi:10.1097/AOG.0000000000002937</w:t>
      </w:r>
    </w:p>
    <w:p w14:paraId="4321DBB7" w14:textId="77777777" w:rsidR="00EC497E" w:rsidRPr="00EC497E" w:rsidRDefault="00EC497E" w:rsidP="00EC497E">
      <w:pPr>
        <w:widowControl w:val="0"/>
        <w:autoSpaceDE w:val="0"/>
        <w:autoSpaceDN w:val="0"/>
        <w:adjustRightInd w:val="0"/>
        <w:spacing w:line="480" w:lineRule="auto"/>
        <w:ind w:left="640" w:hanging="640"/>
        <w:rPr>
          <w:noProof/>
        </w:rPr>
      </w:pPr>
      <w:r w:rsidRPr="00EC497E">
        <w:rPr>
          <w:noProof/>
        </w:rPr>
        <w:t xml:space="preserve">18. </w:t>
      </w:r>
      <w:r w:rsidRPr="00EC497E">
        <w:rPr>
          <w:noProof/>
        </w:rPr>
        <w:tab/>
        <w:t xml:space="preserve">Glance LG, Wissler R, Glantz C, Osler TM, Mukamel DB, Dick AW. Racial differences in the use of epidural analgesia for labor. </w:t>
      </w:r>
      <w:r w:rsidRPr="00EC497E">
        <w:rPr>
          <w:i/>
          <w:iCs/>
          <w:noProof/>
        </w:rPr>
        <w:t>Anesthesiology</w:t>
      </w:r>
      <w:r w:rsidRPr="00EC497E">
        <w:rPr>
          <w:noProof/>
        </w:rPr>
        <w:t>. 2007;106(1):19-25. doi:10.1097/00000542-200701000-00008</w:t>
      </w:r>
    </w:p>
    <w:p w14:paraId="04F6DE3D" w14:textId="77777777" w:rsidR="00EC497E" w:rsidRPr="00EC497E" w:rsidRDefault="00EC497E" w:rsidP="00EC497E">
      <w:pPr>
        <w:widowControl w:val="0"/>
        <w:autoSpaceDE w:val="0"/>
        <w:autoSpaceDN w:val="0"/>
        <w:adjustRightInd w:val="0"/>
        <w:spacing w:line="480" w:lineRule="auto"/>
        <w:ind w:left="640" w:hanging="640"/>
        <w:rPr>
          <w:noProof/>
        </w:rPr>
      </w:pPr>
      <w:r w:rsidRPr="00EC497E">
        <w:rPr>
          <w:noProof/>
        </w:rPr>
        <w:t xml:space="preserve">19. </w:t>
      </w:r>
      <w:r w:rsidRPr="00EC497E">
        <w:rPr>
          <w:noProof/>
        </w:rPr>
        <w:tab/>
        <w:t xml:space="preserve">Gavin NI, Adams EK, Hartmann KE, Benedict MB, Chireau M. Racial and ethnic disparities in the use of pregnancy-related health care among Medicaid pregnant women. </w:t>
      </w:r>
      <w:r w:rsidRPr="00EC497E">
        <w:rPr>
          <w:i/>
          <w:iCs/>
          <w:noProof/>
        </w:rPr>
        <w:t>Matern Child Health J</w:t>
      </w:r>
      <w:r w:rsidRPr="00EC497E">
        <w:rPr>
          <w:noProof/>
        </w:rPr>
        <w:t>. 2004;8(3):113-126. doi:10.1023/B:MACI.0000037645.63379.62</w:t>
      </w:r>
    </w:p>
    <w:p w14:paraId="0DB88D13" w14:textId="77777777" w:rsidR="00EC497E" w:rsidRPr="00EC497E" w:rsidRDefault="00EC497E" w:rsidP="00EC497E">
      <w:pPr>
        <w:widowControl w:val="0"/>
        <w:autoSpaceDE w:val="0"/>
        <w:autoSpaceDN w:val="0"/>
        <w:adjustRightInd w:val="0"/>
        <w:spacing w:line="480" w:lineRule="auto"/>
        <w:ind w:left="640" w:hanging="640"/>
        <w:rPr>
          <w:noProof/>
        </w:rPr>
      </w:pPr>
      <w:r w:rsidRPr="00EC497E">
        <w:rPr>
          <w:noProof/>
        </w:rPr>
        <w:t xml:space="preserve">20. </w:t>
      </w:r>
      <w:r w:rsidRPr="00EC497E">
        <w:rPr>
          <w:noProof/>
        </w:rPr>
        <w:tab/>
        <w:t xml:space="preserve">Cox RG, Zhang L, Zotti ME, Graham J. Prenatal care utilization in mississippi: Racial disparities and implications for unfavorable birth outcomes. </w:t>
      </w:r>
      <w:r w:rsidRPr="00EC497E">
        <w:rPr>
          <w:i/>
          <w:iCs/>
          <w:noProof/>
        </w:rPr>
        <w:t>Matern Child Health J</w:t>
      </w:r>
      <w:r w:rsidRPr="00EC497E">
        <w:rPr>
          <w:noProof/>
        </w:rPr>
        <w:t>. 2011;15(7):931-942. doi:10.1007/s10995-009-0542-6</w:t>
      </w:r>
    </w:p>
    <w:p w14:paraId="7C08CD3E" w14:textId="77777777" w:rsidR="00EC497E" w:rsidRPr="00EC497E" w:rsidRDefault="00EC497E" w:rsidP="00EC497E">
      <w:pPr>
        <w:widowControl w:val="0"/>
        <w:autoSpaceDE w:val="0"/>
        <w:autoSpaceDN w:val="0"/>
        <w:adjustRightInd w:val="0"/>
        <w:spacing w:line="480" w:lineRule="auto"/>
        <w:ind w:left="640" w:hanging="640"/>
        <w:rPr>
          <w:noProof/>
        </w:rPr>
      </w:pPr>
      <w:r w:rsidRPr="00EC497E">
        <w:rPr>
          <w:noProof/>
        </w:rPr>
        <w:t xml:space="preserve">21. </w:t>
      </w:r>
      <w:r w:rsidRPr="00EC497E">
        <w:rPr>
          <w:noProof/>
        </w:rPr>
        <w:tab/>
        <w:t xml:space="preserve">Gadson A, Akpovi E, Mehta PK. Exploring the social determinants of racial/ethnic disparities in prenatal care utilization and maternal outcome. </w:t>
      </w:r>
      <w:r w:rsidRPr="00EC497E">
        <w:rPr>
          <w:i/>
          <w:iCs/>
          <w:noProof/>
        </w:rPr>
        <w:t>Semin Perinatol</w:t>
      </w:r>
      <w:r w:rsidRPr="00EC497E">
        <w:rPr>
          <w:noProof/>
        </w:rPr>
        <w:t>. 2017;41(5):308-317. doi:10.1053/j.semperi.2017.04.008</w:t>
      </w:r>
    </w:p>
    <w:p w14:paraId="78B6BE54" w14:textId="77777777" w:rsidR="00EC497E" w:rsidRPr="00EC497E" w:rsidRDefault="00EC497E" w:rsidP="00EC497E">
      <w:pPr>
        <w:widowControl w:val="0"/>
        <w:autoSpaceDE w:val="0"/>
        <w:autoSpaceDN w:val="0"/>
        <w:adjustRightInd w:val="0"/>
        <w:spacing w:line="480" w:lineRule="auto"/>
        <w:ind w:left="640" w:hanging="640"/>
        <w:rPr>
          <w:noProof/>
        </w:rPr>
      </w:pPr>
      <w:r w:rsidRPr="00EC497E">
        <w:rPr>
          <w:noProof/>
        </w:rPr>
        <w:t xml:space="preserve">22. </w:t>
      </w:r>
      <w:r w:rsidRPr="00EC497E">
        <w:rPr>
          <w:noProof/>
        </w:rPr>
        <w:tab/>
        <w:t xml:space="preserve">Howell EA. Reducing Disparities in Severe Maternal Morbidity and Mortality. </w:t>
      </w:r>
      <w:r w:rsidRPr="00EC497E">
        <w:rPr>
          <w:i/>
          <w:iCs/>
          <w:noProof/>
        </w:rPr>
        <w:t>Clin Obstet Gynecol</w:t>
      </w:r>
      <w:r w:rsidRPr="00EC497E">
        <w:rPr>
          <w:noProof/>
        </w:rPr>
        <w:t>. 2018;61(2):387-399. doi:10.1097/GRF.0000000000000349</w:t>
      </w:r>
    </w:p>
    <w:p w14:paraId="15B091A2" w14:textId="77777777" w:rsidR="00EC497E" w:rsidRPr="00EC497E" w:rsidRDefault="00EC497E" w:rsidP="00EC497E">
      <w:pPr>
        <w:widowControl w:val="0"/>
        <w:autoSpaceDE w:val="0"/>
        <w:autoSpaceDN w:val="0"/>
        <w:adjustRightInd w:val="0"/>
        <w:spacing w:line="480" w:lineRule="auto"/>
        <w:ind w:left="640" w:hanging="640"/>
        <w:rPr>
          <w:noProof/>
        </w:rPr>
      </w:pPr>
      <w:r w:rsidRPr="00EC497E">
        <w:rPr>
          <w:noProof/>
        </w:rPr>
        <w:t xml:space="preserve">23. </w:t>
      </w:r>
      <w:r w:rsidRPr="00EC497E">
        <w:rPr>
          <w:noProof/>
        </w:rPr>
        <w:tab/>
        <w:t xml:space="preserve">Slaughter-Acey JC, Caldwell CH, Misra DP. The influence of personal and group racism on entry into prenatal care among-African American Women. </w:t>
      </w:r>
      <w:r w:rsidRPr="00EC497E">
        <w:rPr>
          <w:i/>
          <w:iCs/>
          <w:noProof/>
        </w:rPr>
        <w:t>Women’s Heal Issues</w:t>
      </w:r>
      <w:r w:rsidRPr="00EC497E">
        <w:rPr>
          <w:noProof/>
        </w:rPr>
        <w:t>. 2013;23(6):e381-e387. doi:10.1016/j.whi.2013.08.001</w:t>
      </w:r>
    </w:p>
    <w:p w14:paraId="31CFA3BB" w14:textId="77777777" w:rsidR="00EC497E" w:rsidRPr="00EC497E" w:rsidRDefault="00EC497E" w:rsidP="00EC497E">
      <w:pPr>
        <w:widowControl w:val="0"/>
        <w:autoSpaceDE w:val="0"/>
        <w:autoSpaceDN w:val="0"/>
        <w:adjustRightInd w:val="0"/>
        <w:spacing w:line="480" w:lineRule="auto"/>
        <w:ind w:left="640" w:hanging="640"/>
        <w:rPr>
          <w:noProof/>
        </w:rPr>
      </w:pPr>
      <w:r w:rsidRPr="00EC497E">
        <w:rPr>
          <w:noProof/>
        </w:rPr>
        <w:t xml:space="preserve">24. </w:t>
      </w:r>
      <w:r w:rsidRPr="00EC497E">
        <w:rPr>
          <w:noProof/>
        </w:rPr>
        <w:tab/>
        <w:t xml:space="preserve">Attanasio L, Kozhimannil KB. Patient-reported communication quality and perceived discrimination in maternity care. </w:t>
      </w:r>
      <w:r w:rsidRPr="00EC497E">
        <w:rPr>
          <w:i/>
          <w:iCs/>
          <w:noProof/>
        </w:rPr>
        <w:t>Med Care</w:t>
      </w:r>
      <w:r w:rsidRPr="00EC497E">
        <w:rPr>
          <w:noProof/>
        </w:rPr>
        <w:t>. 2015;53(10):863-871. doi:10.1097/MLR.0000000000000411</w:t>
      </w:r>
    </w:p>
    <w:p w14:paraId="05C91966" w14:textId="77777777" w:rsidR="00EC497E" w:rsidRPr="00EC497E" w:rsidRDefault="00EC497E" w:rsidP="00EC497E">
      <w:pPr>
        <w:widowControl w:val="0"/>
        <w:autoSpaceDE w:val="0"/>
        <w:autoSpaceDN w:val="0"/>
        <w:adjustRightInd w:val="0"/>
        <w:spacing w:line="480" w:lineRule="auto"/>
        <w:ind w:left="640" w:hanging="640"/>
        <w:rPr>
          <w:noProof/>
        </w:rPr>
      </w:pPr>
      <w:r w:rsidRPr="00EC497E">
        <w:rPr>
          <w:noProof/>
        </w:rPr>
        <w:t xml:space="preserve">25. </w:t>
      </w:r>
      <w:r w:rsidRPr="00EC497E">
        <w:rPr>
          <w:noProof/>
        </w:rPr>
        <w:tab/>
        <w:t xml:space="preserve">Goldberg J, Hyslop T, Tolosa JE, Sultana C. Racial differences in severe perineal lacerations after vaginal delivery. </w:t>
      </w:r>
      <w:r w:rsidRPr="00EC497E">
        <w:rPr>
          <w:i/>
          <w:iCs/>
          <w:noProof/>
        </w:rPr>
        <w:t>Am J Obstet Gynecol</w:t>
      </w:r>
      <w:r w:rsidRPr="00EC497E">
        <w:rPr>
          <w:noProof/>
        </w:rPr>
        <w:t>. 2003;188(4):1063-1067. doi:10.1067/mob.2003.251</w:t>
      </w:r>
    </w:p>
    <w:p w14:paraId="0EE01714" w14:textId="77777777" w:rsidR="00EC497E" w:rsidRPr="00EC497E" w:rsidRDefault="00EC497E" w:rsidP="00EC497E">
      <w:pPr>
        <w:widowControl w:val="0"/>
        <w:autoSpaceDE w:val="0"/>
        <w:autoSpaceDN w:val="0"/>
        <w:adjustRightInd w:val="0"/>
        <w:spacing w:line="480" w:lineRule="auto"/>
        <w:ind w:left="640" w:hanging="640"/>
        <w:rPr>
          <w:noProof/>
        </w:rPr>
      </w:pPr>
      <w:r w:rsidRPr="00EC497E">
        <w:rPr>
          <w:noProof/>
        </w:rPr>
        <w:t xml:space="preserve">26. </w:t>
      </w:r>
      <w:r w:rsidRPr="00EC497E">
        <w:rPr>
          <w:noProof/>
        </w:rPr>
        <w:tab/>
        <w:t xml:space="preserve">Hoffman KM, Trawalter S, Axt JR, Oliver MN. Racial bias in pain assessment and treatment recommendations, and false beliefs about biological differences between blacks and whites. </w:t>
      </w:r>
      <w:r w:rsidRPr="00EC497E">
        <w:rPr>
          <w:i/>
          <w:iCs/>
          <w:noProof/>
        </w:rPr>
        <w:t>Proc Natl Acad Sci U S A</w:t>
      </w:r>
      <w:r w:rsidRPr="00EC497E">
        <w:rPr>
          <w:noProof/>
        </w:rPr>
        <w:t>. 2016;113(16):4296-4301. doi:10.1073/pnas.1516047113</w:t>
      </w:r>
    </w:p>
    <w:p w14:paraId="45E21682" w14:textId="77777777" w:rsidR="00EC497E" w:rsidRPr="00EC497E" w:rsidRDefault="00EC497E" w:rsidP="00EC497E">
      <w:pPr>
        <w:widowControl w:val="0"/>
        <w:autoSpaceDE w:val="0"/>
        <w:autoSpaceDN w:val="0"/>
        <w:adjustRightInd w:val="0"/>
        <w:spacing w:line="480" w:lineRule="auto"/>
        <w:ind w:left="640" w:hanging="640"/>
        <w:rPr>
          <w:noProof/>
        </w:rPr>
      </w:pPr>
      <w:r w:rsidRPr="00EC497E">
        <w:rPr>
          <w:noProof/>
        </w:rPr>
        <w:t xml:space="preserve">27. </w:t>
      </w:r>
      <w:r w:rsidRPr="00EC497E">
        <w:rPr>
          <w:noProof/>
        </w:rPr>
        <w:tab/>
        <w:t xml:space="preserve">Sentell T, Chang A, Cheng Y, Miyamura J. Maternal quality and safety outcomes for Asians and Pacific Islanders in Hawai’i: An observational study from five years of statewide data. </w:t>
      </w:r>
      <w:r w:rsidRPr="00EC497E">
        <w:rPr>
          <w:i/>
          <w:iCs/>
          <w:noProof/>
        </w:rPr>
        <w:t>BMC Pregnancy Childbirth</w:t>
      </w:r>
      <w:r w:rsidRPr="00EC497E">
        <w:rPr>
          <w:noProof/>
        </w:rPr>
        <w:t>. 2014;14(1). doi:10.1186/1471-2393-14-298</w:t>
      </w:r>
    </w:p>
    <w:p w14:paraId="0D865491" w14:textId="77777777" w:rsidR="00EC497E" w:rsidRPr="00EC497E" w:rsidRDefault="00EC497E" w:rsidP="00EC497E">
      <w:pPr>
        <w:widowControl w:val="0"/>
        <w:autoSpaceDE w:val="0"/>
        <w:autoSpaceDN w:val="0"/>
        <w:adjustRightInd w:val="0"/>
        <w:spacing w:line="480" w:lineRule="auto"/>
        <w:ind w:left="640" w:hanging="640"/>
        <w:rPr>
          <w:noProof/>
        </w:rPr>
      </w:pPr>
      <w:r w:rsidRPr="00EC497E">
        <w:rPr>
          <w:noProof/>
        </w:rPr>
        <w:t xml:space="preserve">28. </w:t>
      </w:r>
      <w:r w:rsidRPr="00EC497E">
        <w:rPr>
          <w:noProof/>
        </w:rPr>
        <w:tab/>
        <w:t xml:space="preserve">Howell EA. Reducing Disparities in Severe Maternal Morbidity and Mortality. </w:t>
      </w:r>
      <w:r w:rsidRPr="00EC497E">
        <w:rPr>
          <w:i/>
          <w:iCs/>
          <w:noProof/>
        </w:rPr>
        <w:t>Clin Obstet Gynecol</w:t>
      </w:r>
      <w:r w:rsidRPr="00EC497E">
        <w:rPr>
          <w:noProof/>
        </w:rPr>
        <w:t>. 2018;61(2):387-399. doi:10.1097/GRF.0000000000000349</w:t>
      </w:r>
    </w:p>
    <w:p w14:paraId="75670242" w14:textId="77777777" w:rsidR="00EC497E" w:rsidRPr="00EC497E" w:rsidRDefault="00EC497E" w:rsidP="00EC497E">
      <w:pPr>
        <w:widowControl w:val="0"/>
        <w:autoSpaceDE w:val="0"/>
        <w:autoSpaceDN w:val="0"/>
        <w:adjustRightInd w:val="0"/>
        <w:spacing w:line="480" w:lineRule="auto"/>
        <w:ind w:left="640" w:hanging="640"/>
        <w:rPr>
          <w:noProof/>
        </w:rPr>
      </w:pPr>
      <w:r w:rsidRPr="00EC497E">
        <w:rPr>
          <w:noProof/>
        </w:rPr>
        <w:t xml:space="preserve">29. </w:t>
      </w:r>
      <w:r w:rsidRPr="00EC497E">
        <w:rPr>
          <w:noProof/>
        </w:rPr>
        <w:tab/>
        <w:t xml:space="preserve">Howell EA, Ahmed ZN. Eight steps for narrowing the maternal health disparity gap: Step-by-step plan to reduce racial and ethnic disparities in care. </w:t>
      </w:r>
      <w:r w:rsidRPr="00EC497E">
        <w:rPr>
          <w:i/>
          <w:iCs/>
          <w:noProof/>
        </w:rPr>
        <w:t>Contemp Ob Gyn</w:t>
      </w:r>
      <w:r w:rsidRPr="00EC497E">
        <w:rPr>
          <w:noProof/>
        </w:rPr>
        <w:t>. 2019;64(1):30-36. Accessed December 9, 2020. http://www.ncbi.nlm.nih.gov/pubmed/31673195</w:t>
      </w:r>
    </w:p>
    <w:p w14:paraId="0BCE980A" w14:textId="77777777" w:rsidR="00EC497E" w:rsidRPr="00EC497E" w:rsidRDefault="00EC497E" w:rsidP="00EC497E">
      <w:pPr>
        <w:widowControl w:val="0"/>
        <w:autoSpaceDE w:val="0"/>
        <w:autoSpaceDN w:val="0"/>
        <w:adjustRightInd w:val="0"/>
        <w:spacing w:line="480" w:lineRule="auto"/>
        <w:ind w:left="640" w:hanging="640"/>
        <w:rPr>
          <w:noProof/>
        </w:rPr>
      </w:pPr>
      <w:r w:rsidRPr="00EC497E">
        <w:rPr>
          <w:noProof/>
        </w:rPr>
        <w:t xml:space="preserve">30. </w:t>
      </w:r>
      <w:r w:rsidRPr="00EC497E">
        <w:rPr>
          <w:noProof/>
        </w:rPr>
        <w:tab/>
        <w:t xml:space="preserve">Barfield WD, Papile LA, Baley JE, et al. Levels of neonatal care. </w:t>
      </w:r>
      <w:r w:rsidRPr="00EC497E">
        <w:rPr>
          <w:i/>
          <w:iCs/>
          <w:noProof/>
        </w:rPr>
        <w:t>Pediatrics</w:t>
      </w:r>
      <w:r w:rsidRPr="00EC497E">
        <w:rPr>
          <w:noProof/>
        </w:rPr>
        <w:t>. 2012;130(3):587-597. doi:10.1542/peds.2012-1999</w:t>
      </w:r>
    </w:p>
    <w:p w14:paraId="0A7D111B" w14:textId="0F15B3F1" w:rsidR="00524B1C" w:rsidRPr="00E837AF" w:rsidRDefault="0010004B" w:rsidP="00EC497E">
      <w:pPr>
        <w:widowControl w:val="0"/>
        <w:autoSpaceDE w:val="0"/>
        <w:autoSpaceDN w:val="0"/>
        <w:adjustRightInd w:val="0"/>
        <w:spacing w:line="480" w:lineRule="auto"/>
        <w:ind w:left="640" w:hanging="640"/>
      </w:pPr>
      <w:r>
        <w:fldChar w:fldCharType="end"/>
      </w:r>
    </w:p>
    <w:sectPr w:rsidR="00524B1C" w:rsidRPr="00E837AF" w:rsidSect="00E26CD2">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CB6B2" w14:textId="77777777" w:rsidR="004263D8" w:rsidRDefault="004263D8" w:rsidP="00A031C6">
      <w:r>
        <w:separator/>
      </w:r>
    </w:p>
  </w:endnote>
  <w:endnote w:type="continuationSeparator" w:id="0">
    <w:p w14:paraId="6CC0D35D" w14:textId="77777777" w:rsidR="004263D8" w:rsidRDefault="004263D8" w:rsidP="00A0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10998350"/>
      <w:docPartObj>
        <w:docPartGallery w:val="Page Numbers (Bottom of Page)"/>
        <w:docPartUnique/>
      </w:docPartObj>
    </w:sdtPr>
    <w:sdtEndPr>
      <w:rPr>
        <w:rStyle w:val="PageNumber"/>
      </w:rPr>
    </w:sdtEndPr>
    <w:sdtContent>
      <w:p w14:paraId="6CFE5D17" w14:textId="1F09557F" w:rsidR="002A181C" w:rsidRDefault="002A181C" w:rsidP="002667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47F7E9" w14:textId="77777777" w:rsidR="002A181C" w:rsidRDefault="002A181C" w:rsidP="006F7C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86620378"/>
      <w:docPartObj>
        <w:docPartGallery w:val="Page Numbers (Bottom of Page)"/>
        <w:docPartUnique/>
      </w:docPartObj>
    </w:sdtPr>
    <w:sdtEndPr>
      <w:rPr>
        <w:rStyle w:val="PageNumber"/>
      </w:rPr>
    </w:sdtEndPr>
    <w:sdtContent>
      <w:p w14:paraId="16FD261D" w14:textId="3F6239D4" w:rsidR="002A181C" w:rsidRDefault="002A181C" w:rsidP="002667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61E54">
          <w:rPr>
            <w:rStyle w:val="PageNumber"/>
            <w:noProof/>
          </w:rPr>
          <w:t>1</w:t>
        </w:r>
        <w:r>
          <w:rPr>
            <w:rStyle w:val="PageNumber"/>
          </w:rPr>
          <w:fldChar w:fldCharType="end"/>
        </w:r>
      </w:p>
    </w:sdtContent>
  </w:sdt>
  <w:p w14:paraId="3107E586" w14:textId="77777777" w:rsidR="002A181C" w:rsidRDefault="002A181C" w:rsidP="006F7C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F0BC7" w14:textId="77777777" w:rsidR="004263D8" w:rsidRDefault="004263D8" w:rsidP="00A031C6">
      <w:r>
        <w:separator/>
      </w:r>
    </w:p>
  </w:footnote>
  <w:footnote w:type="continuationSeparator" w:id="0">
    <w:p w14:paraId="0156D10C" w14:textId="77777777" w:rsidR="004263D8" w:rsidRDefault="004263D8" w:rsidP="00A03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49535" w14:textId="3118A80C" w:rsidR="002A181C" w:rsidRDefault="002A181C" w:rsidP="006F7C19">
    <w:pPr>
      <w:pStyle w:val="Header"/>
      <w:jc w:val="right"/>
    </w:pPr>
    <w:r>
      <w:t>Dwyer et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639A"/>
    <w:multiLevelType w:val="multilevel"/>
    <w:tmpl w:val="96F4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364E3"/>
    <w:multiLevelType w:val="hybridMultilevel"/>
    <w:tmpl w:val="D9DA1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F7F36"/>
    <w:multiLevelType w:val="multilevel"/>
    <w:tmpl w:val="12D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06826"/>
    <w:multiLevelType w:val="hybridMultilevel"/>
    <w:tmpl w:val="2F9A81D2"/>
    <w:lvl w:ilvl="0" w:tplc="CEE24FC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325E6"/>
    <w:multiLevelType w:val="hybridMultilevel"/>
    <w:tmpl w:val="5CEC5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E39A3"/>
    <w:multiLevelType w:val="hybridMultilevel"/>
    <w:tmpl w:val="D5281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85842"/>
    <w:multiLevelType w:val="hybridMultilevel"/>
    <w:tmpl w:val="58843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C6ACC"/>
    <w:multiLevelType w:val="hybridMultilevel"/>
    <w:tmpl w:val="A3B029A4"/>
    <w:lvl w:ilvl="0" w:tplc="F4C6E194">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5368D"/>
    <w:multiLevelType w:val="hybridMultilevel"/>
    <w:tmpl w:val="13FCE736"/>
    <w:lvl w:ilvl="0" w:tplc="29E46FA8">
      <w:start w:val="1"/>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B23C1"/>
    <w:multiLevelType w:val="hybridMultilevel"/>
    <w:tmpl w:val="42D8D5C0"/>
    <w:lvl w:ilvl="0" w:tplc="E6BA12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075DF"/>
    <w:multiLevelType w:val="hybridMultilevel"/>
    <w:tmpl w:val="76F64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682357B"/>
    <w:multiLevelType w:val="hybridMultilevel"/>
    <w:tmpl w:val="18D042D8"/>
    <w:lvl w:ilvl="0" w:tplc="38824FF6">
      <w:start w:val="14"/>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65BF2"/>
    <w:multiLevelType w:val="hybridMultilevel"/>
    <w:tmpl w:val="404CFDDC"/>
    <w:lvl w:ilvl="0" w:tplc="27A443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390FDC"/>
    <w:multiLevelType w:val="hybridMultilevel"/>
    <w:tmpl w:val="9C20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1"/>
  </w:num>
  <w:num w:numId="5">
    <w:abstractNumId w:val="7"/>
  </w:num>
  <w:num w:numId="6">
    <w:abstractNumId w:val="2"/>
  </w:num>
  <w:num w:numId="7">
    <w:abstractNumId w:val="0"/>
  </w:num>
  <w:num w:numId="8">
    <w:abstractNumId w:val="6"/>
  </w:num>
  <w:num w:numId="9">
    <w:abstractNumId w:val="10"/>
  </w:num>
  <w:num w:numId="10">
    <w:abstractNumId w:val="8"/>
  </w:num>
  <w:num w:numId="11">
    <w:abstractNumId w:val="3"/>
  </w:num>
  <w:num w:numId="12">
    <w:abstractNumId w:val="1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96313C9-0F47-4AF4-8CAB-F2A99984F4FF}"/>
    <w:docVar w:name="dgnword-eventsink" w:val="177117824"/>
  </w:docVars>
  <w:rsids>
    <w:rsidRoot w:val="003D7E9F"/>
    <w:rsid w:val="00002F7D"/>
    <w:rsid w:val="00003FCE"/>
    <w:rsid w:val="00004A97"/>
    <w:rsid w:val="00013ADD"/>
    <w:rsid w:val="000170A9"/>
    <w:rsid w:val="00025EF7"/>
    <w:rsid w:val="00030085"/>
    <w:rsid w:val="0003306A"/>
    <w:rsid w:val="0003521D"/>
    <w:rsid w:val="00036935"/>
    <w:rsid w:val="0004655F"/>
    <w:rsid w:val="000529DC"/>
    <w:rsid w:val="00057779"/>
    <w:rsid w:val="000609E3"/>
    <w:rsid w:val="0006363F"/>
    <w:rsid w:val="000656F9"/>
    <w:rsid w:val="00070054"/>
    <w:rsid w:val="00072530"/>
    <w:rsid w:val="00073022"/>
    <w:rsid w:val="00075F1B"/>
    <w:rsid w:val="00082711"/>
    <w:rsid w:val="00082E13"/>
    <w:rsid w:val="0008478E"/>
    <w:rsid w:val="00085B2E"/>
    <w:rsid w:val="00086643"/>
    <w:rsid w:val="00093BF8"/>
    <w:rsid w:val="00096DBD"/>
    <w:rsid w:val="00097CFF"/>
    <w:rsid w:val="000A6B72"/>
    <w:rsid w:val="000B0123"/>
    <w:rsid w:val="000B13CC"/>
    <w:rsid w:val="000C3696"/>
    <w:rsid w:val="000C60C7"/>
    <w:rsid w:val="000D11C0"/>
    <w:rsid w:val="000E0FD2"/>
    <w:rsid w:val="000E2103"/>
    <w:rsid w:val="000E4056"/>
    <w:rsid w:val="000E5F83"/>
    <w:rsid w:val="000E6AB8"/>
    <w:rsid w:val="000F3790"/>
    <w:rsid w:val="000F4B8D"/>
    <w:rsid w:val="000F50C1"/>
    <w:rsid w:val="000F53F6"/>
    <w:rsid w:val="000F5513"/>
    <w:rsid w:val="0010004B"/>
    <w:rsid w:val="0010032A"/>
    <w:rsid w:val="001014F6"/>
    <w:rsid w:val="0010273B"/>
    <w:rsid w:val="00103E40"/>
    <w:rsid w:val="001071EF"/>
    <w:rsid w:val="00112AB8"/>
    <w:rsid w:val="00123925"/>
    <w:rsid w:val="0012507F"/>
    <w:rsid w:val="0013081B"/>
    <w:rsid w:val="001407ED"/>
    <w:rsid w:val="00140EB7"/>
    <w:rsid w:val="00143272"/>
    <w:rsid w:val="0015013E"/>
    <w:rsid w:val="00150202"/>
    <w:rsid w:val="0015449C"/>
    <w:rsid w:val="00163977"/>
    <w:rsid w:val="001647F1"/>
    <w:rsid w:val="001670EB"/>
    <w:rsid w:val="00170AF5"/>
    <w:rsid w:val="00171AF0"/>
    <w:rsid w:val="00177E16"/>
    <w:rsid w:val="001842A6"/>
    <w:rsid w:val="0018462E"/>
    <w:rsid w:val="00184F97"/>
    <w:rsid w:val="00185C6D"/>
    <w:rsid w:val="00185DF1"/>
    <w:rsid w:val="001865FF"/>
    <w:rsid w:val="00186F3D"/>
    <w:rsid w:val="001928EF"/>
    <w:rsid w:val="00197393"/>
    <w:rsid w:val="001A16F0"/>
    <w:rsid w:val="001A1AA6"/>
    <w:rsid w:val="001B0674"/>
    <w:rsid w:val="001B10A1"/>
    <w:rsid w:val="001B64F1"/>
    <w:rsid w:val="001C1FF2"/>
    <w:rsid w:val="001C7388"/>
    <w:rsid w:val="001D027C"/>
    <w:rsid w:val="001E4A88"/>
    <w:rsid w:val="001E7E61"/>
    <w:rsid w:val="001E7EEB"/>
    <w:rsid w:val="001F06D3"/>
    <w:rsid w:val="001F437E"/>
    <w:rsid w:val="001F6032"/>
    <w:rsid w:val="001F7849"/>
    <w:rsid w:val="002003FD"/>
    <w:rsid w:val="00206857"/>
    <w:rsid w:val="00206B89"/>
    <w:rsid w:val="002123B2"/>
    <w:rsid w:val="002140CD"/>
    <w:rsid w:val="00217A11"/>
    <w:rsid w:val="00221680"/>
    <w:rsid w:val="002300AE"/>
    <w:rsid w:val="00235862"/>
    <w:rsid w:val="002418A5"/>
    <w:rsid w:val="00244A8A"/>
    <w:rsid w:val="002514AD"/>
    <w:rsid w:val="00252876"/>
    <w:rsid w:val="00261288"/>
    <w:rsid w:val="0026479E"/>
    <w:rsid w:val="002667DF"/>
    <w:rsid w:val="00275B18"/>
    <w:rsid w:val="00277588"/>
    <w:rsid w:val="002829E4"/>
    <w:rsid w:val="00284507"/>
    <w:rsid w:val="002924DE"/>
    <w:rsid w:val="0029342C"/>
    <w:rsid w:val="00294730"/>
    <w:rsid w:val="00296F2D"/>
    <w:rsid w:val="002A181C"/>
    <w:rsid w:val="002A3EF9"/>
    <w:rsid w:val="002B0869"/>
    <w:rsid w:val="002B51BF"/>
    <w:rsid w:val="002C5ABE"/>
    <w:rsid w:val="002D4035"/>
    <w:rsid w:val="002E09CE"/>
    <w:rsid w:val="002E10F9"/>
    <w:rsid w:val="002E240D"/>
    <w:rsid w:val="002E749B"/>
    <w:rsid w:val="002F7277"/>
    <w:rsid w:val="00303FCF"/>
    <w:rsid w:val="0030456F"/>
    <w:rsid w:val="003073B2"/>
    <w:rsid w:val="00313304"/>
    <w:rsid w:val="0031488E"/>
    <w:rsid w:val="003158A8"/>
    <w:rsid w:val="00320489"/>
    <w:rsid w:val="00321ABA"/>
    <w:rsid w:val="00323B2D"/>
    <w:rsid w:val="00330794"/>
    <w:rsid w:val="003312D3"/>
    <w:rsid w:val="00332F2B"/>
    <w:rsid w:val="00336111"/>
    <w:rsid w:val="00340579"/>
    <w:rsid w:val="00355588"/>
    <w:rsid w:val="003610BD"/>
    <w:rsid w:val="003625F7"/>
    <w:rsid w:val="00364F66"/>
    <w:rsid w:val="003670A1"/>
    <w:rsid w:val="003673DF"/>
    <w:rsid w:val="00371ECB"/>
    <w:rsid w:val="00372892"/>
    <w:rsid w:val="00375509"/>
    <w:rsid w:val="003822BF"/>
    <w:rsid w:val="0039360B"/>
    <w:rsid w:val="00396491"/>
    <w:rsid w:val="003B0C18"/>
    <w:rsid w:val="003B5A4C"/>
    <w:rsid w:val="003B6305"/>
    <w:rsid w:val="003B6874"/>
    <w:rsid w:val="003B6C7B"/>
    <w:rsid w:val="003C078D"/>
    <w:rsid w:val="003C2736"/>
    <w:rsid w:val="003C41D9"/>
    <w:rsid w:val="003C6CCF"/>
    <w:rsid w:val="003D51A8"/>
    <w:rsid w:val="003D7E9F"/>
    <w:rsid w:val="003E354D"/>
    <w:rsid w:val="003E5077"/>
    <w:rsid w:val="003F005D"/>
    <w:rsid w:val="003F653F"/>
    <w:rsid w:val="003F6623"/>
    <w:rsid w:val="00400E01"/>
    <w:rsid w:val="00406B31"/>
    <w:rsid w:val="0040787F"/>
    <w:rsid w:val="0041105E"/>
    <w:rsid w:val="0041219F"/>
    <w:rsid w:val="00412625"/>
    <w:rsid w:val="00415D2A"/>
    <w:rsid w:val="00417825"/>
    <w:rsid w:val="00417B77"/>
    <w:rsid w:val="00423403"/>
    <w:rsid w:val="004263D8"/>
    <w:rsid w:val="00427165"/>
    <w:rsid w:val="00431092"/>
    <w:rsid w:val="00431362"/>
    <w:rsid w:val="00432D0C"/>
    <w:rsid w:val="004357A3"/>
    <w:rsid w:val="004448A9"/>
    <w:rsid w:val="004526A5"/>
    <w:rsid w:val="00454B56"/>
    <w:rsid w:val="00456F84"/>
    <w:rsid w:val="00461E54"/>
    <w:rsid w:val="0046331E"/>
    <w:rsid w:val="004640D0"/>
    <w:rsid w:val="00465906"/>
    <w:rsid w:val="00470812"/>
    <w:rsid w:val="00474D3F"/>
    <w:rsid w:val="00477EC7"/>
    <w:rsid w:val="00482CC1"/>
    <w:rsid w:val="00487432"/>
    <w:rsid w:val="004876D6"/>
    <w:rsid w:val="0049149E"/>
    <w:rsid w:val="004962A0"/>
    <w:rsid w:val="004A10E6"/>
    <w:rsid w:val="004A537D"/>
    <w:rsid w:val="004A6BE8"/>
    <w:rsid w:val="004B034A"/>
    <w:rsid w:val="004B51A7"/>
    <w:rsid w:val="004C03CF"/>
    <w:rsid w:val="004C2204"/>
    <w:rsid w:val="004C355A"/>
    <w:rsid w:val="004C3E39"/>
    <w:rsid w:val="004D2302"/>
    <w:rsid w:val="004D2A08"/>
    <w:rsid w:val="004D4251"/>
    <w:rsid w:val="004E2064"/>
    <w:rsid w:val="004E756E"/>
    <w:rsid w:val="004F2144"/>
    <w:rsid w:val="004F3326"/>
    <w:rsid w:val="004F71EF"/>
    <w:rsid w:val="004F7528"/>
    <w:rsid w:val="0050392D"/>
    <w:rsid w:val="00505D6E"/>
    <w:rsid w:val="00517985"/>
    <w:rsid w:val="00517BB0"/>
    <w:rsid w:val="00524B1C"/>
    <w:rsid w:val="005337CB"/>
    <w:rsid w:val="005370AB"/>
    <w:rsid w:val="00541BE0"/>
    <w:rsid w:val="00545A1B"/>
    <w:rsid w:val="00547B81"/>
    <w:rsid w:val="005505CF"/>
    <w:rsid w:val="00551C24"/>
    <w:rsid w:val="005544D9"/>
    <w:rsid w:val="00555857"/>
    <w:rsid w:val="005573D1"/>
    <w:rsid w:val="0056001F"/>
    <w:rsid w:val="00562C8C"/>
    <w:rsid w:val="00564622"/>
    <w:rsid w:val="0056481B"/>
    <w:rsid w:val="005656B4"/>
    <w:rsid w:val="00570EB5"/>
    <w:rsid w:val="005747D5"/>
    <w:rsid w:val="00576B62"/>
    <w:rsid w:val="0058322F"/>
    <w:rsid w:val="0058729F"/>
    <w:rsid w:val="005912F3"/>
    <w:rsid w:val="00592F82"/>
    <w:rsid w:val="0059416B"/>
    <w:rsid w:val="00597FE1"/>
    <w:rsid w:val="005A316F"/>
    <w:rsid w:val="005A3248"/>
    <w:rsid w:val="005A3282"/>
    <w:rsid w:val="005B14DC"/>
    <w:rsid w:val="005B1D83"/>
    <w:rsid w:val="005B2183"/>
    <w:rsid w:val="005B296D"/>
    <w:rsid w:val="005B3F34"/>
    <w:rsid w:val="005B69D5"/>
    <w:rsid w:val="005C27C4"/>
    <w:rsid w:val="005C364F"/>
    <w:rsid w:val="005C5D82"/>
    <w:rsid w:val="005C66EB"/>
    <w:rsid w:val="005D3D58"/>
    <w:rsid w:val="005D413E"/>
    <w:rsid w:val="005D55E9"/>
    <w:rsid w:val="005D78E6"/>
    <w:rsid w:val="005E09AC"/>
    <w:rsid w:val="005E7C04"/>
    <w:rsid w:val="005F0A9D"/>
    <w:rsid w:val="005F0C42"/>
    <w:rsid w:val="005F1241"/>
    <w:rsid w:val="005F6CA5"/>
    <w:rsid w:val="00600B14"/>
    <w:rsid w:val="00602B85"/>
    <w:rsid w:val="00607773"/>
    <w:rsid w:val="0062252F"/>
    <w:rsid w:val="00623220"/>
    <w:rsid w:val="00635E40"/>
    <w:rsid w:val="00642118"/>
    <w:rsid w:val="00644299"/>
    <w:rsid w:val="00645747"/>
    <w:rsid w:val="0064632D"/>
    <w:rsid w:val="0064657F"/>
    <w:rsid w:val="00646DF4"/>
    <w:rsid w:val="00647EA6"/>
    <w:rsid w:val="00647F5F"/>
    <w:rsid w:val="00650949"/>
    <w:rsid w:val="006617A5"/>
    <w:rsid w:val="006660C9"/>
    <w:rsid w:val="00666DE4"/>
    <w:rsid w:val="006705D1"/>
    <w:rsid w:val="006705D3"/>
    <w:rsid w:val="00671D51"/>
    <w:rsid w:val="006722CB"/>
    <w:rsid w:val="006765C7"/>
    <w:rsid w:val="00676C49"/>
    <w:rsid w:val="00680E3D"/>
    <w:rsid w:val="00683C97"/>
    <w:rsid w:val="00686CA0"/>
    <w:rsid w:val="0068770E"/>
    <w:rsid w:val="006955DE"/>
    <w:rsid w:val="00696959"/>
    <w:rsid w:val="006A0B80"/>
    <w:rsid w:val="006A25B0"/>
    <w:rsid w:val="006A2A4C"/>
    <w:rsid w:val="006B3E77"/>
    <w:rsid w:val="006D6B7F"/>
    <w:rsid w:val="006D7521"/>
    <w:rsid w:val="006E0C71"/>
    <w:rsid w:val="006F344D"/>
    <w:rsid w:val="006F3884"/>
    <w:rsid w:val="006F55D6"/>
    <w:rsid w:val="006F71DD"/>
    <w:rsid w:val="006F7C19"/>
    <w:rsid w:val="006F7CF5"/>
    <w:rsid w:val="00705952"/>
    <w:rsid w:val="007069E9"/>
    <w:rsid w:val="0072263C"/>
    <w:rsid w:val="00726778"/>
    <w:rsid w:val="00732F02"/>
    <w:rsid w:val="007339CC"/>
    <w:rsid w:val="00736B7A"/>
    <w:rsid w:val="007477BA"/>
    <w:rsid w:val="00750CAC"/>
    <w:rsid w:val="007572E5"/>
    <w:rsid w:val="00765C68"/>
    <w:rsid w:val="0077356B"/>
    <w:rsid w:val="0077457C"/>
    <w:rsid w:val="00776682"/>
    <w:rsid w:val="00783821"/>
    <w:rsid w:val="0078483B"/>
    <w:rsid w:val="00786837"/>
    <w:rsid w:val="00786D3C"/>
    <w:rsid w:val="007874CB"/>
    <w:rsid w:val="00792BA5"/>
    <w:rsid w:val="007B58A2"/>
    <w:rsid w:val="007B62D2"/>
    <w:rsid w:val="007B6B99"/>
    <w:rsid w:val="007B71F3"/>
    <w:rsid w:val="007C22CB"/>
    <w:rsid w:val="007C51EE"/>
    <w:rsid w:val="007D2AE2"/>
    <w:rsid w:val="007D696A"/>
    <w:rsid w:val="007E06DD"/>
    <w:rsid w:val="007E4834"/>
    <w:rsid w:val="007E5115"/>
    <w:rsid w:val="007F47F6"/>
    <w:rsid w:val="0081392F"/>
    <w:rsid w:val="008153D9"/>
    <w:rsid w:val="00822AA8"/>
    <w:rsid w:val="00826043"/>
    <w:rsid w:val="008308B8"/>
    <w:rsid w:val="00833A03"/>
    <w:rsid w:val="008348D2"/>
    <w:rsid w:val="0083622E"/>
    <w:rsid w:val="00840EC7"/>
    <w:rsid w:val="00841140"/>
    <w:rsid w:val="00846565"/>
    <w:rsid w:val="00850427"/>
    <w:rsid w:val="00857D87"/>
    <w:rsid w:val="00864DA4"/>
    <w:rsid w:val="0086621D"/>
    <w:rsid w:val="00870B00"/>
    <w:rsid w:val="00872C97"/>
    <w:rsid w:val="00876C18"/>
    <w:rsid w:val="00881B47"/>
    <w:rsid w:val="0088391E"/>
    <w:rsid w:val="008859FB"/>
    <w:rsid w:val="008870C2"/>
    <w:rsid w:val="00887581"/>
    <w:rsid w:val="00887E1E"/>
    <w:rsid w:val="00890AD9"/>
    <w:rsid w:val="0089263D"/>
    <w:rsid w:val="008958BA"/>
    <w:rsid w:val="008A20ED"/>
    <w:rsid w:val="008A26C8"/>
    <w:rsid w:val="008A4299"/>
    <w:rsid w:val="008A4AAD"/>
    <w:rsid w:val="008A6F30"/>
    <w:rsid w:val="008B3C66"/>
    <w:rsid w:val="008C2384"/>
    <w:rsid w:val="008C5F55"/>
    <w:rsid w:val="008D0F90"/>
    <w:rsid w:val="008D325A"/>
    <w:rsid w:val="008D4EC9"/>
    <w:rsid w:val="008D5459"/>
    <w:rsid w:val="008D55E2"/>
    <w:rsid w:val="008E0603"/>
    <w:rsid w:val="008E0E11"/>
    <w:rsid w:val="008E1EDA"/>
    <w:rsid w:val="008E2924"/>
    <w:rsid w:val="0090475B"/>
    <w:rsid w:val="00904C3B"/>
    <w:rsid w:val="00913D06"/>
    <w:rsid w:val="00921FB5"/>
    <w:rsid w:val="009234B1"/>
    <w:rsid w:val="009248A7"/>
    <w:rsid w:val="00937EE4"/>
    <w:rsid w:val="00942A82"/>
    <w:rsid w:val="009476DB"/>
    <w:rsid w:val="00947DC8"/>
    <w:rsid w:val="00953D42"/>
    <w:rsid w:val="00954AD8"/>
    <w:rsid w:val="00957870"/>
    <w:rsid w:val="00960571"/>
    <w:rsid w:val="00972864"/>
    <w:rsid w:val="00976C4E"/>
    <w:rsid w:val="00980FEA"/>
    <w:rsid w:val="00986819"/>
    <w:rsid w:val="0098788F"/>
    <w:rsid w:val="00993C06"/>
    <w:rsid w:val="00993C60"/>
    <w:rsid w:val="0099613E"/>
    <w:rsid w:val="0099634C"/>
    <w:rsid w:val="0099635A"/>
    <w:rsid w:val="009A6AB6"/>
    <w:rsid w:val="009A7C46"/>
    <w:rsid w:val="009C67B2"/>
    <w:rsid w:val="009D04B1"/>
    <w:rsid w:val="009D2176"/>
    <w:rsid w:val="009D2D40"/>
    <w:rsid w:val="009E0169"/>
    <w:rsid w:val="009E1CFF"/>
    <w:rsid w:val="009E3993"/>
    <w:rsid w:val="009E5576"/>
    <w:rsid w:val="009E74EB"/>
    <w:rsid w:val="009E7775"/>
    <w:rsid w:val="009F0941"/>
    <w:rsid w:val="00A031C6"/>
    <w:rsid w:val="00A13393"/>
    <w:rsid w:val="00A2066A"/>
    <w:rsid w:val="00A21D9F"/>
    <w:rsid w:val="00A23B56"/>
    <w:rsid w:val="00A2523E"/>
    <w:rsid w:val="00A25C6A"/>
    <w:rsid w:val="00A34DBD"/>
    <w:rsid w:val="00A35BF9"/>
    <w:rsid w:val="00A404AB"/>
    <w:rsid w:val="00A40CE4"/>
    <w:rsid w:val="00A41703"/>
    <w:rsid w:val="00A475B6"/>
    <w:rsid w:val="00A606AC"/>
    <w:rsid w:val="00A61B26"/>
    <w:rsid w:val="00A6638B"/>
    <w:rsid w:val="00A66694"/>
    <w:rsid w:val="00A671B7"/>
    <w:rsid w:val="00A676F8"/>
    <w:rsid w:val="00A758A1"/>
    <w:rsid w:val="00A819ED"/>
    <w:rsid w:val="00A82A0D"/>
    <w:rsid w:val="00A86340"/>
    <w:rsid w:val="00A94E24"/>
    <w:rsid w:val="00A96FD3"/>
    <w:rsid w:val="00A972E4"/>
    <w:rsid w:val="00A97E3B"/>
    <w:rsid w:val="00AA0D89"/>
    <w:rsid w:val="00AA6301"/>
    <w:rsid w:val="00AB0FED"/>
    <w:rsid w:val="00AB0FF7"/>
    <w:rsid w:val="00AB1E65"/>
    <w:rsid w:val="00AB579B"/>
    <w:rsid w:val="00AB5E08"/>
    <w:rsid w:val="00AC1D45"/>
    <w:rsid w:val="00AC1DA5"/>
    <w:rsid w:val="00AD1EE7"/>
    <w:rsid w:val="00AD2FE0"/>
    <w:rsid w:val="00AE0385"/>
    <w:rsid w:val="00AE70DB"/>
    <w:rsid w:val="00AF18A7"/>
    <w:rsid w:val="00AF3FC8"/>
    <w:rsid w:val="00AF4904"/>
    <w:rsid w:val="00AF59AA"/>
    <w:rsid w:val="00AF7EA4"/>
    <w:rsid w:val="00B11C80"/>
    <w:rsid w:val="00B11FCF"/>
    <w:rsid w:val="00B158B5"/>
    <w:rsid w:val="00B159D4"/>
    <w:rsid w:val="00B20E7B"/>
    <w:rsid w:val="00B231FD"/>
    <w:rsid w:val="00B23250"/>
    <w:rsid w:val="00B268BF"/>
    <w:rsid w:val="00B3558D"/>
    <w:rsid w:val="00B36DFD"/>
    <w:rsid w:val="00B378C7"/>
    <w:rsid w:val="00B402E6"/>
    <w:rsid w:val="00B40A30"/>
    <w:rsid w:val="00B43AE7"/>
    <w:rsid w:val="00B44C00"/>
    <w:rsid w:val="00B458D2"/>
    <w:rsid w:val="00B5174F"/>
    <w:rsid w:val="00B54C3D"/>
    <w:rsid w:val="00B56056"/>
    <w:rsid w:val="00B61813"/>
    <w:rsid w:val="00B625D3"/>
    <w:rsid w:val="00B63DDD"/>
    <w:rsid w:val="00B67938"/>
    <w:rsid w:val="00B73A94"/>
    <w:rsid w:val="00B77737"/>
    <w:rsid w:val="00B85DC7"/>
    <w:rsid w:val="00B90BD1"/>
    <w:rsid w:val="00B91664"/>
    <w:rsid w:val="00BA0EBB"/>
    <w:rsid w:val="00BA4183"/>
    <w:rsid w:val="00BB3E96"/>
    <w:rsid w:val="00BB6656"/>
    <w:rsid w:val="00BB7D96"/>
    <w:rsid w:val="00BC4679"/>
    <w:rsid w:val="00BC5181"/>
    <w:rsid w:val="00BC51AC"/>
    <w:rsid w:val="00BD00FF"/>
    <w:rsid w:val="00BD4925"/>
    <w:rsid w:val="00BD4A9E"/>
    <w:rsid w:val="00BD58BE"/>
    <w:rsid w:val="00BE3A29"/>
    <w:rsid w:val="00BE635A"/>
    <w:rsid w:val="00BF1E8F"/>
    <w:rsid w:val="00BF218E"/>
    <w:rsid w:val="00BF278F"/>
    <w:rsid w:val="00C0140F"/>
    <w:rsid w:val="00C031AD"/>
    <w:rsid w:val="00C0369A"/>
    <w:rsid w:val="00C04090"/>
    <w:rsid w:val="00C068AB"/>
    <w:rsid w:val="00C07561"/>
    <w:rsid w:val="00C15730"/>
    <w:rsid w:val="00C23EE2"/>
    <w:rsid w:val="00C30D43"/>
    <w:rsid w:val="00C31622"/>
    <w:rsid w:val="00C40086"/>
    <w:rsid w:val="00C42643"/>
    <w:rsid w:val="00C46286"/>
    <w:rsid w:val="00C47FB3"/>
    <w:rsid w:val="00C50FA9"/>
    <w:rsid w:val="00C57243"/>
    <w:rsid w:val="00C63E59"/>
    <w:rsid w:val="00C64E09"/>
    <w:rsid w:val="00C6793A"/>
    <w:rsid w:val="00C67D31"/>
    <w:rsid w:val="00C67E97"/>
    <w:rsid w:val="00C73213"/>
    <w:rsid w:val="00C769D4"/>
    <w:rsid w:val="00C76AE8"/>
    <w:rsid w:val="00C77914"/>
    <w:rsid w:val="00C77AF4"/>
    <w:rsid w:val="00C806D5"/>
    <w:rsid w:val="00C80FBD"/>
    <w:rsid w:val="00C85386"/>
    <w:rsid w:val="00C91BCE"/>
    <w:rsid w:val="00C93A8B"/>
    <w:rsid w:val="00CA08D4"/>
    <w:rsid w:val="00CA35CF"/>
    <w:rsid w:val="00CB6B26"/>
    <w:rsid w:val="00CB7F8B"/>
    <w:rsid w:val="00CC39B2"/>
    <w:rsid w:val="00CC48F5"/>
    <w:rsid w:val="00CC61FB"/>
    <w:rsid w:val="00CC7234"/>
    <w:rsid w:val="00CD138C"/>
    <w:rsid w:val="00CD598F"/>
    <w:rsid w:val="00CE2FAA"/>
    <w:rsid w:val="00CE59F5"/>
    <w:rsid w:val="00CE6D2D"/>
    <w:rsid w:val="00CE715A"/>
    <w:rsid w:val="00CE75B3"/>
    <w:rsid w:val="00CF211B"/>
    <w:rsid w:val="00CF2563"/>
    <w:rsid w:val="00CF3E04"/>
    <w:rsid w:val="00D01924"/>
    <w:rsid w:val="00D02C92"/>
    <w:rsid w:val="00D0520B"/>
    <w:rsid w:val="00D16A55"/>
    <w:rsid w:val="00D20D0A"/>
    <w:rsid w:val="00D27AD5"/>
    <w:rsid w:val="00D27D3F"/>
    <w:rsid w:val="00D3018F"/>
    <w:rsid w:val="00D33661"/>
    <w:rsid w:val="00D34BF6"/>
    <w:rsid w:val="00D3546C"/>
    <w:rsid w:val="00D35EFF"/>
    <w:rsid w:val="00D42384"/>
    <w:rsid w:val="00D507EC"/>
    <w:rsid w:val="00D53123"/>
    <w:rsid w:val="00D652CE"/>
    <w:rsid w:val="00D71C18"/>
    <w:rsid w:val="00D85312"/>
    <w:rsid w:val="00D873DE"/>
    <w:rsid w:val="00D91231"/>
    <w:rsid w:val="00D94B52"/>
    <w:rsid w:val="00D97263"/>
    <w:rsid w:val="00DA03C4"/>
    <w:rsid w:val="00DA236A"/>
    <w:rsid w:val="00DA37A6"/>
    <w:rsid w:val="00DB0B32"/>
    <w:rsid w:val="00DB34AB"/>
    <w:rsid w:val="00DB5081"/>
    <w:rsid w:val="00DC2899"/>
    <w:rsid w:val="00DC4728"/>
    <w:rsid w:val="00DC5EF5"/>
    <w:rsid w:val="00DD0D19"/>
    <w:rsid w:val="00DD1D1A"/>
    <w:rsid w:val="00DD777C"/>
    <w:rsid w:val="00DE08B1"/>
    <w:rsid w:val="00DE360D"/>
    <w:rsid w:val="00DE486A"/>
    <w:rsid w:val="00DF05DD"/>
    <w:rsid w:val="00DF3FFB"/>
    <w:rsid w:val="00DF6EC7"/>
    <w:rsid w:val="00E010B7"/>
    <w:rsid w:val="00E01670"/>
    <w:rsid w:val="00E05DF8"/>
    <w:rsid w:val="00E079DA"/>
    <w:rsid w:val="00E1006F"/>
    <w:rsid w:val="00E1106C"/>
    <w:rsid w:val="00E13B10"/>
    <w:rsid w:val="00E15669"/>
    <w:rsid w:val="00E17B81"/>
    <w:rsid w:val="00E22F52"/>
    <w:rsid w:val="00E22FC5"/>
    <w:rsid w:val="00E2345E"/>
    <w:rsid w:val="00E24F6E"/>
    <w:rsid w:val="00E26087"/>
    <w:rsid w:val="00E26CD2"/>
    <w:rsid w:val="00E27D75"/>
    <w:rsid w:val="00E3119A"/>
    <w:rsid w:val="00E34BDE"/>
    <w:rsid w:val="00E34D6A"/>
    <w:rsid w:val="00E3659A"/>
    <w:rsid w:val="00E410EC"/>
    <w:rsid w:val="00E4157A"/>
    <w:rsid w:val="00E41B34"/>
    <w:rsid w:val="00E469A9"/>
    <w:rsid w:val="00E469B8"/>
    <w:rsid w:val="00E508CB"/>
    <w:rsid w:val="00E5121C"/>
    <w:rsid w:val="00E54392"/>
    <w:rsid w:val="00E637A0"/>
    <w:rsid w:val="00E67056"/>
    <w:rsid w:val="00E679AE"/>
    <w:rsid w:val="00E7208E"/>
    <w:rsid w:val="00E732B2"/>
    <w:rsid w:val="00E80277"/>
    <w:rsid w:val="00E81C0C"/>
    <w:rsid w:val="00E837AF"/>
    <w:rsid w:val="00E855C8"/>
    <w:rsid w:val="00E87DC8"/>
    <w:rsid w:val="00E90C17"/>
    <w:rsid w:val="00E90F6D"/>
    <w:rsid w:val="00E92FF2"/>
    <w:rsid w:val="00E97A8D"/>
    <w:rsid w:val="00EA582F"/>
    <w:rsid w:val="00EA5F53"/>
    <w:rsid w:val="00EA67B1"/>
    <w:rsid w:val="00EC497E"/>
    <w:rsid w:val="00EC5A0F"/>
    <w:rsid w:val="00EC6253"/>
    <w:rsid w:val="00EC674F"/>
    <w:rsid w:val="00EC79AD"/>
    <w:rsid w:val="00ED62BA"/>
    <w:rsid w:val="00ED6758"/>
    <w:rsid w:val="00ED705D"/>
    <w:rsid w:val="00ED7930"/>
    <w:rsid w:val="00ED7DD5"/>
    <w:rsid w:val="00EE2BC3"/>
    <w:rsid w:val="00EE54D8"/>
    <w:rsid w:val="00EF542E"/>
    <w:rsid w:val="00F00306"/>
    <w:rsid w:val="00F01368"/>
    <w:rsid w:val="00F0163B"/>
    <w:rsid w:val="00F02B5F"/>
    <w:rsid w:val="00F12E65"/>
    <w:rsid w:val="00F1474E"/>
    <w:rsid w:val="00F16B85"/>
    <w:rsid w:val="00F22EEB"/>
    <w:rsid w:val="00F23294"/>
    <w:rsid w:val="00F23B21"/>
    <w:rsid w:val="00F263B5"/>
    <w:rsid w:val="00F3412C"/>
    <w:rsid w:val="00F34CE5"/>
    <w:rsid w:val="00F37C82"/>
    <w:rsid w:val="00F434C7"/>
    <w:rsid w:val="00F445F8"/>
    <w:rsid w:val="00F532F9"/>
    <w:rsid w:val="00F5426C"/>
    <w:rsid w:val="00F54A9B"/>
    <w:rsid w:val="00F5676C"/>
    <w:rsid w:val="00F60862"/>
    <w:rsid w:val="00F63633"/>
    <w:rsid w:val="00F63B30"/>
    <w:rsid w:val="00F71DA8"/>
    <w:rsid w:val="00F71F72"/>
    <w:rsid w:val="00F91293"/>
    <w:rsid w:val="00FB257E"/>
    <w:rsid w:val="00FB656B"/>
    <w:rsid w:val="00FC1537"/>
    <w:rsid w:val="00FC6E95"/>
    <w:rsid w:val="00FD2DDA"/>
    <w:rsid w:val="00FD39A2"/>
    <w:rsid w:val="00FD461A"/>
    <w:rsid w:val="00FD4A22"/>
    <w:rsid w:val="00FD52C5"/>
    <w:rsid w:val="00FE2815"/>
    <w:rsid w:val="00FE3C44"/>
    <w:rsid w:val="00FF3FD2"/>
    <w:rsid w:val="00FF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74E29"/>
  <w15:chartTrackingRefBased/>
  <w15:docId w15:val="{A61DF439-38AC-1742-A9D2-C9AC6C6C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1F3"/>
    <w:rPr>
      <w:rFonts w:ascii="Times New Roman" w:eastAsia="Times New Roman" w:hAnsi="Times New Roman" w:cs="Times New Roman"/>
    </w:rPr>
  </w:style>
  <w:style w:type="paragraph" w:styleId="Heading1">
    <w:name w:val="heading 1"/>
    <w:basedOn w:val="Normal"/>
    <w:next w:val="Normal"/>
    <w:link w:val="Heading1Char"/>
    <w:uiPriority w:val="9"/>
    <w:qFormat/>
    <w:rsid w:val="00A35BF9"/>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E9F"/>
    <w:pPr>
      <w:spacing w:before="100" w:beforeAutospacing="1" w:after="100" w:afterAutospacing="1"/>
    </w:pPr>
  </w:style>
  <w:style w:type="table" w:styleId="TableGrid">
    <w:name w:val="Table Grid"/>
    <w:basedOn w:val="TableNormal"/>
    <w:uiPriority w:val="39"/>
    <w:rsid w:val="003D7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6F3D"/>
    <w:rPr>
      <w:sz w:val="16"/>
      <w:szCs w:val="16"/>
    </w:rPr>
  </w:style>
  <w:style w:type="paragraph" w:styleId="CommentText">
    <w:name w:val="annotation text"/>
    <w:basedOn w:val="Normal"/>
    <w:link w:val="CommentTextChar"/>
    <w:uiPriority w:val="99"/>
    <w:unhideWhenUsed/>
    <w:rsid w:val="00186F3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86F3D"/>
    <w:rPr>
      <w:sz w:val="20"/>
      <w:szCs w:val="20"/>
    </w:rPr>
  </w:style>
  <w:style w:type="paragraph" w:styleId="CommentSubject">
    <w:name w:val="annotation subject"/>
    <w:basedOn w:val="CommentText"/>
    <w:next w:val="CommentText"/>
    <w:link w:val="CommentSubjectChar"/>
    <w:uiPriority w:val="99"/>
    <w:semiHidden/>
    <w:unhideWhenUsed/>
    <w:rsid w:val="00186F3D"/>
    <w:rPr>
      <w:b/>
      <w:bCs/>
    </w:rPr>
  </w:style>
  <w:style w:type="character" w:customStyle="1" w:styleId="CommentSubjectChar">
    <w:name w:val="Comment Subject Char"/>
    <w:basedOn w:val="CommentTextChar"/>
    <w:link w:val="CommentSubject"/>
    <w:uiPriority w:val="99"/>
    <w:semiHidden/>
    <w:rsid w:val="00186F3D"/>
    <w:rPr>
      <w:b/>
      <w:bCs/>
      <w:sz w:val="20"/>
      <w:szCs w:val="20"/>
    </w:rPr>
  </w:style>
  <w:style w:type="paragraph" w:styleId="BalloonText">
    <w:name w:val="Balloon Text"/>
    <w:basedOn w:val="Normal"/>
    <w:link w:val="BalloonTextChar"/>
    <w:uiPriority w:val="99"/>
    <w:semiHidden/>
    <w:unhideWhenUsed/>
    <w:rsid w:val="00186F3D"/>
    <w:rPr>
      <w:rFonts w:eastAsiaTheme="minorHAnsi"/>
      <w:sz w:val="18"/>
      <w:szCs w:val="18"/>
    </w:rPr>
  </w:style>
  <w:style w:type="character" w:customStyle="1" w:styleId="BalloonTextChar">
    <w:name w:val="Balloon Text Char"/>
    <w:basedOn w:val="DefaultParagraphFont"/>
    <w:link w:val="BalloonText"/>
    <w:uiPriority w:val="99"/>
    <w:semiHidden/>
    <w:rsid w:val="00186F3D"/>
    <w:rPr>
      <w:rFonts w:ascii="Times New Roman" w:hAnsi="Times New Roman" w:cs="Times New Roman"/>
      <w:sz w:val="18"/>
      <w:szCs w:val="18"/>
    </w:rPr>
  </w:style>
  <w:style w:type="paragraph" w:styleId="Revision">
    <w:name w:val="Revision"/>
    <w:hidden/>
    <w:uiPriority w:val="99"/>
    <w:semiHidden/>
    <w:rsid w:val="00E34D6A"/>
  </w:style>
  <w:style w:type="character" w:customStyle="1" w:styleId="apple-converted-space">
    <w:name w:val="apple-converted-space"/>
    <w:basedOn w:val="DefaultParagraphFont"/>
    <w:rsid w:val="00833A03"/>
  </w:style>
  <w:style w:type="character" w:styleId="Hyperlink">
    <w:name w:val="Hyperlink"/>
    <w:basedOn w:val="DefaultParagraphFont"/>
    <w:uiPriority w:val="99"/>
    <w:unhideWhenUsed/>
    <w:rsid w:val="00CE715A"/>
    <w:rPr>
      <w:color w:val="0563C1" w:themeColor="hyperlink"/>
      <w:u w:val="single"/>
    </w:rPr>
  </w:style>
  <w:style w:type="character" w:customStyle="1" w:styleId="UnresolvedMention1">
    <w:name w:val="Unresolved Mention1"/>
    <w:basedOn w:val="DefaultParagraphFont"/>
    <w:uiPriority w:val="99"/>
    <w:semiHidden/>
    <w:unhideWhenUsed/>
    <w:rsid w:val="00CE715A"/>
    <w:rPr>
      <w:color w:val="605E5C"/>
      <w:shd w:val="clear" w:color="auto" w:fill="E1DFDD"/>
    </w:rPr>
  </w:style>
  <w:style w:type="paragraph" w:styleId="ListParagraph">
    <w:name w:val="List Paragraph"/>
    <w:basedOn w:val="Normal"/>
    <w:uiPriority w:val="34"/>
    <w:qFormat/>
    <w:rsid w:val="00CE715A"/>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A35BF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031C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031C6"/>
  </w:style>
  <w:style w:type="paragraph" w:styleId="Footer">
    <w:name w:val="footer"/>
    <w:basedOn w:val="Normal"/>
    <w:link w:val="FooterChar"/>
    <w:uiPriority w:val="99"/>
    <w:unhideWhenUsed/>
    <w:rsid w:val="00A031C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031C6"/>
  </w:style>
  <w:style w:type="character" w:styleId="Emphasis">
    <w:name w:val="Emphasis"/>
    <w:basedOn w:val="DefaultParagraphFont"/>
    <w:uiPriority w:val="20"/>
    <w:qFormat/>
    <w:rsid w:val="00E3659A"/>
    <w:rPr>
      <w:rFonts w:cs="Times New Roman"/>
      <w:i/>
    </w:rPr>
  </w:style>
  <w:style w:type="character" w:styleId="PageNumber">
    <w:name w:val="page number"/>
    <w:basedOn w:val="DefaultParagraphFont"/>
    <w:uiPriority w:val="99"/>
    <w:semiHidden/>
    <w:unhideWhenUsed/>
    <w:rsid w:val="006F7C19"/>
  </w:style>
  <w:style w:type="character" w:customStyle="1" w:styleId="ref-journal">
    <w:name w:val="ref-journal"/>
    <w:basedOn w:val="DefaultParagraphFont"/>
    <w:rsid w:val="00C93A8B"/>
  </w:style>
  <w:style w:type="character" w:customStyle="1" w:styleId="ref-vol">
    <w:name w:val="ref-vol"/>
    <w:basedOn w:val="DefaultParagraphFont"/>
    <w:rsid w:val="00C93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04867">
      <w:bodyDiv w:val="1"/>
      <w:marLeft w:val="0"/>
      <w:marRight w:val="0"/>
      <w:marTop w:val="0"/>
      <w:marBottom w:val="0"/>
      <w:divBdr>
        <w:top w:val="none" w:sz="0" w:space="0" w:color="auto"/>
        <w:left w:val="none" w:sz="0" w:space="0" w:color="auto"/>
        <w:bottom w:val="none" w:sz="0" w:space="0" w:color="auto"/>
        <w:right w:val="none" w:sz="0" w:space="0" w:color="auto"/>
      </w:divBdr>
      <w:divsChild>
        <w:div w:id="895122053">
          <w:marLeft w:val="0"/>
          <w:marRight w:val="0"/>
          <w:marTop w:val="0"/>
          <w:marBottom w:val="0"/>
          <w:divBdr>
            <w:top w:val="single" w:sz="6" w:space="0" w:color="5B616B"/>
            <w:left w:val="single" w:sz="6" w:space="0" w:color="5B616B"/>
            <w:bottom w:val="single" w:sz="6" w:space="0" w:color="5B616B"/>
            <w:right w:val="single" w:sz="6" w:space="0" w:color="5B616B"/>
          </w:divBdr>
        </w:div>
        <w:div w:id="1824270783">
          <w:marLeft w:val="0"/>
          <w:marRight w:val="0"/>
          <w:marTop w:val="0"/>
          <w:marBottom w:val="0"/>
          <w:divBdr>
            <w:top w:val="none" w:sz="0" w:space="0" w:color="auto"/>
            <w:left w:val="none" w:sz="0" w:space="0" w:color="auto"/>
            <w:bottom w:val="none" w:sz="0" w:space="0" w:color="auto"/>
            <w:right w:val="none" w:sz="0" w:space="0" w:color="auto"/>
          </w:divBdr>
        </w:div>
      </w:divsChild>
    </w:div>
    <w:div w:id="367528124">
      <w:bodyDiv w:val="1"/>
      <w:marLeft w:val="0"/>
      <w:marRight w:val="0"/>
      <w:marTop w:val="0"/>
      <w:marBottom w:val="0"/>
      <w:divBdr>
        <w:top w:val="none" w:sz="0" w:space="0" w:color="auto"/>
        <w:left w:val="none" w:sz="0" w:space="0" w:color="auto"/>
        <w:bottom w:val="none" w:sz="0" w:space="0" w:color="auto"/>
        <w:right w:val="none" w:sz="0" w:space="0" w:color="auto"/>
      </w:divBdr>
    </w:div>
    <w:div w:id="452754494">
      <w:bodyDiv w:val="1"/>
      <w:marLeft w:val="0"/>
      <w:marRight w:val="0"/>
      <w:marTop w:val="0"/>
      <w:marBottom w:val="0"/>
      <w:divBdr>
        <w:top w:val="none" w:sz="0" w:space="0" w:color="auto"/>
        <w:left w:val="none" w:sz="0" w:space="0" w:color="auto"/>
        <w:bottom w:val="none" w:sz="0" w:space="0" w:color="auto"/>
        <w:right w:val="none" w:sz="0" w:space="0" w:color="auto"/>
      </w:divBdr>
    </w:div>
    <w:div w:id="622348244">
      <w:bodyDiv w:val="1"/>
      <w:marLeft w:val="0"/>
      <w:marRight w:val="0"/>
      <w:marTop w:val="0"/>
      <w:marBottom w:val="0"/>
      <w:divBdr>
        <w:top w:val="none" w:sz="0" w:space="0" w:color="auto"/>
        <w:left w:val="none" w:sz="0" w:space="0" w:color="auto"/>
        <w:bottom w:val="none" w:sz="0" w:space="0" w:color="auto"/>
        <w:right w:val="none" w:sz="0" w:space="0" w:color="auto"/>
      </w:divBdr>
      <w:divsChild>
        <w:div w:id="288442454">
          <w:marLeft w:val="0"/>
          <w:marRight w:val="0"/>
          <w:marTop w:val="0"/>
          <w:marBottom w:val="0"/>
          <w:divBdr>
            <w:top w:val="single" w:sz="6" w:space="0" w:color="5B616B"/>
            <w:left w:val="single" w:sz="6" w:space="0" w:color="5B616B"/>
            <w:bottom w:val="single" w:sz="6" w:space="0" w:color="5B616B"/>
            <w:right w:val="single" w:sz="6" w:space="0" w:color="5B616B"/>
          </w:divBdr>
        </w:div>
        <w:div w:id="537207634">
          <w:marLeft w:val="0"/>
          <w:marRight w:val="0"/>
          <w:marTop w:val="0"/>
          <w:marBottom w:val="0"/>
          <w:divBdr>
            <w:top w:val="none" w:sz="0" w:space="0" w:color="auto"/>
            <w:left w:val="none" w:sz="0" w:space="0" w:color="auto"/>
            <w:bottom w:val="none" w:sz="0" w:space="0" w:color="auto"/>
            <w:right w:val="none" w:sz="0" w:space="0" w:color="auto"/>
          </w:divBdr>
        </w:div>
      </w:divsChild>
    </w:div>
    <w:div w:id="633759213">
      <w:bodyDiv w:val="1"/>
      <w:marLeft w:val="0"/>
      <w:marRight w:val="0"/>
      <w:marTop w:val="0"/>
      <w:marBottom w:val="0"/>
      <w:divBdr>
        <w:top w:val="none" w:sz="0" w:space="0" w:color="auto"/>
        <w:left w:val="none" w:sz="0" w:space="0" w:color="auto"/>
        <w:bottom w:val="none" w:sz="0" w:space="0" w:color="auto"/>
        <w:right w:val="none" w:sz="0" w:space="0" w:color="auto"/>
      </w:divBdr>
    </w:div>
    <w:div w:id="667053066">
      <w:bodyDiv w:val="1"/>
      <w:marLeft w:val="0"/>
      <w:marRight w:val="0"/>
      <w:marTop w:val="0"/>
      <w:marBottom w:val="0"/>
      <w:divBdr>
        <w:top w:val="none" w:sz="0" w:space="0" w:color="auto"/>
        <w:left w:val="none" w:sz="0" w:space="0" w:color="auto"/>
        <w:bottom w:val="none" w:sz="0" w:space="0" w:color="auto"/>
        <w:right w:val="none" w:sz="0" w:space="0" w:color="auto"/>
      </w:divBdr>
    </w:div>
    <w:div w:id="722145047">
      <w:bodyDiv w:val="1"/>
      <w:marLeft w:val="0"/>
      <w:marRight w:val="0"/>
      <w:marTop w:val="0"/>
      <w:marBottom w:val="0"/>
      <w:divBdr>
        <w:top w:val="none" w:sz="0" w:space="0" w:color="auto"/>
        <w:left w:val="none" w:sz="0" w:space="0" w:color="auto"/>
        <w:bottom w:val="none" w:sz="0" w:space="0" w:color="auto"/>
        <w:right w:val="none" w:sz="0" w:space="0" w:color="auto"/>
      </w:divBdr>
      <w:divsChild>
        <w:div w:id="147091114">
          <w:marLeft w:val="0"/>
          <w:marRight w:val="0"/>
          <w:marTop w:val="0"/>
          <w:marBottom w:val="0"/>
          <w:divBdr>
            <w:top w:val="none" w:sz="0" w:space="0" w:color="auto"/>
            <w:left w:val="none" w:sz="0" w:space="0" w:color="auto"/>
            <w:bottom w:val="none" w:sz="0" w:space="0" w:color="auto"/>
            <w:right w:val="none" w:sz="0" w:space="0" w:color="auto"/>
          </w:divBdr>
          <w:divsChild>
            <w:div w:id="426391794">
              <w:marLeft w:val="0"/>
              <w:marRight w:val="0"/>
              <w:marTop w:val="0"/>
              <w:marBottom w:val="0"/>
              <w:divBdr>
                <w:top w:val="none" w:sz="0" w:space="0" w:color="auto"/>
                <w:left w:val="none" w:sz="0" w:space="0" w:color="auto"/>
                <w:bottom w:val="none" w:sz="0" w:space="0" w:color="auto"/>
                <w:right w:val="none" w:sz="0" w:space="0" w:color="auto"/>
              </w:divBdr>
              <w:divsChild>
                <w:div w:id="1012338790">
                  <w:marLeft w:val="0"/>
                  <w:marRight w:val="0"/>
                  <w:marTop w:val="0"/>
                  <w:marBottom w:val="0"/>
                  <w:divBdr>
                    <w:top w:val="none" w:sz="0" w:space="0" w:color="auto"/>
                    <w:left w:val="none" w:sz="0" w:space="0" w:color="auto"/>
                    <w:bottom w:val="none" w:sz="0" w:space="0" w:color="auto"/>
                    <w:right w:val="none" w:sz="0" w:space="0" w:color="auto"/>
                  </w:divBdr>
                </w:div>
              </w:divsChild>
            </w:div>
            <w:div w:id="1801536033">
              <w:marLeft w:val="0"/>
              <w:marRight w:val="0"/>
              <w:marTop w:val="0"/>
              <w:marBottom w:val="0"/>
              <w:divBdr>
                <w:top w:val="none" w:sz="0" w:space="0" w:color="auto"/>
                <w:left w:val="none" w:sz="0" w:space="0" w:color="auto"/>
                <w:bottom w:val="none" w:sz="0" w:space="0" w:color="auto"/>
                <w:right w:val="none" w:sz="0" w:space="0" w:color="auto"/>
              </w:divBdr>
              <w:divsChild>
                <w:div w:id="11549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8259">
          <w:marLeft w:val="0"/>
          <w:marRight w:val="0"/>
          <w:marTop w:val="0"/>
          <w:marBottom w:val="0"/>
          <w:divBdr>
            <w:top w:val="none" w:sz="0" w:space="0" w:color="auto"/>
            <w:left w:val="none" w:sz="0" w:space="0" w:color="auto"/>
            <w:bottom w:val="none" w:sz="0" w:space="0" w:color="auto"/>
            <w:right w:val="none" w:sz="0" w:space="0" w:color="auto"/>
          </w:divBdr>
          <w:divsChild>
            <w:div w:id="1659575340">
              <w:marLeft w:val="0"/>
              <w:marRight w:val="0"/>
              <w:marTop w:val="0"/>
              <w:marBottom w:val="0"/>
              <w:divBdr>
                <w:top w:val="none" w:sz="0" w:space="0" w:color="auto"/>
                <w:left w:val="none" w:sz="0" w:space="0" w:color="auto"/>
                <w:bottom w:val="none" w:sz="0" w:space="0" w:color="auto"/>
                <w:right w:val="none" w:sz="0" w:space="0" w:color="auto"/>
              </w:divBdr>
              <w:divsChild>
                <w:div w:id="5859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76991">
      <w:bodyDiv w:val="1"/>
      <w:marLeft w:val="0"/>
      <w:marRight w:val="0"/>
      <w:marTop w:val="0"/>
      <w:marBottom w:val="0"/>
      <w:divBdr>
        <w:top w:val="none" w:sz="0" w:space="0" w:color="auto"/>
        <w:left w:val="none" w:sz="0" w:space="0" w:color="auto"/>
        <w:bottom w:val="none" w:sz="0" w:space="0" w:color="auto"/>
        <w:right w:val="none" w:sz="0" w:space="0" w:color="auto"/>
      </w:divBdr>
    </w:div>
    <w:div w:id="1255477214">
      <w:bodyDiv w:val="1"/>
      <w:marLeft w:val="0"/>
      <w:marRight w:val="0"/>
      <w:marTop w:val="0"/>
      <w:marBottom w:val="0"/>
      <w:divBdr>
        <w:top w:val="none" w:sz="0" w:space="0" w:color="auto"/>
        <w:left w:val="none" w:sz="0" w:space="0" w:color="auto"/>
        <w:bottom w:val="none" w:sz="0" w:space="0" w:color="auto"/>
        <w:right w:val="none" w:sz="0" w:space="0" w:color="auto"/>
      </w:divBdr>
    </w:div>
    <w:div w:id="1305888656">
      <w:bodyDiv w:val="1"/>
      <w:marLeft w:val="0"/>
      <w:marRight w:val="0"/>
      <w:marTop w:val="0"/>
      <w:marBottom w:val="0"/>
      <w:divBdr>
        <w:top w:val="none" w:sz="0" w:space="0" w:color="auto"/>
        <w:left w:val="none" w:sz="0" w:space="0" w:color="auto"/>
        <w:bottom w:val="none" w:sz="0" w:space="0" w:color="auto"/>
        <w:right w:val="none" w:sz="0" w:space="0" w:color="auto"/>
      </w:divBdr>
    </w:div>
    <w:div w:id="1469127897">
      <w:bodyDiv w:val="1"/>
      <w:marLeft w:val="0"/>
      <w:marRight w:val="0"/>
      <w:marTop w:val="0"/>
      <w:marBottom w:val="0"/>
      <w:divBdr>
        <w:top w:val="none" w:sz="0" w:space="0" w:color="auto"/>
        <w:left w:val="none" w:sz="0" w:space="0" w:color="auto"/>
        <w:bottom w:val="none" w:sz="0" w:space="0" w:color="auto"/>
        <w:right w:val="none" w:sz="0" w:space="0" w:color="auto"/>
      </w:divBdr>
    </w:div>
    <w:div w:id="1617980916">
      <w:bodyDiv w:val="1"/>
      <w:marLeft w:val="0"/>
      <w:marRight w:val="0"/>
      <w:marTop w:val="0"/>
      <w:marBottom w:val="0"/>
      <w:divBdr>
        <w:top w:val="none" w:sz="0" w:space="0" w:color="auto"/>
        <w:left w:val="none" w:sz="0" w:space="0" w:color="auto"/>
        <w:bottom w:val="none" w:sz="0" w:space="0" w:color="auto"/>
        <w:right w:val="none" w:sz="0" w:space="0" w:color="auto"/>
      </w:divBdr>
    </w:div>
    <w:div w:id="1638101907">
      <w:bodyDiv w:val="1"/>
      <w:marLeft w:val="0"/>
      <w:marRight w:val="0"/>
      <w:marTop w:val="0"/>
      <w:marBottom w:val="0"/>
      <w:divBdr>
        <w:top w:val="none" w:sz="0" w:space="0" w:color="auto"/>
        <w:left w:val="none" w:sz="0" w:space="0" w:color="auto"/>
        <w:bottom w:val="none" w:sz="0" w:space="0" w:color="auto"/>
        <w:right w:val="none" w:sz="0" w:space="0" w:color="auto"/>
      </w:divBdr>
    </w:div>
    <w:div w:id="1785877323">
      <w:bodyDiv w:val="1"/>
      <w:marLeft w:val="0"/>
      <w:marRight w:val="0"/>
      <w:marTop w:val="0"/>
      <w:marBottom w:val="0"/>
      <w:divBdr>
        <w:top w:val="none" w:sz="0" w:space="0" w:color="auto"/>
        <w:left w:val="none" w:sz="0" w:space="0" w:color="auto"/>
        <w:bottom w:val="none" w:sz="0" w:space="0" w:color="auto"/>
        <w:right w:val="none" w:sz="0" w:space="0" w:color="auto"/>
      </w:divBdr>
    </w:div>
    <w:div w:id="1803157781">
      <w:bodyDiv w:val="1"/>
      <w:marLeft w:val="0"/>
      <w:marRight w:val="0"/>
      <w:marTop w:val="0"/>
      <w:marBottom w:val="0"/>
      <w:divBdr>
        <w:top w:val="none" w:sz="0" w:space="0" w:color="auto"/>
        <w:left w:val="none" w:sz="0" w:space="0" w:color="auto"/>
        <w:bottom w:val="none" w:sz="0" w:space="0" w:color="auto"/>
        <w:right w:val="none" w:sz="0" w:space="0" w:color="auto"/>
      </w:divBdr>
    </w:div>
    <w:div w:id="1807157600">
      <w:bodyDiv w:val="1"/>
      <w:marLeft w:val="0"/>
      <w:marRight w:val="0"/>
      <w:marTop w:val="0"/>
      <w:marBottom w:val="0"/>
      <w:divBdr>
        <w:top w:val="none" w:sz="0" w:space="0" w:color="auto"/>
        <w:left w:val="none" w:sz="0" w:space="0" w:color="auto"/>
        <w:bottom w:val="none" w:sz="0" w:space="0" w:color="auto"/>
        <w:right w:val="none" w:sz="0" w:space="0" w:color="auto"/>
      </w:divBdr>
      <w:divsChild>
        <w:div w:id="1477140723">
          <w:marLeft w:val="0"/>
          <w:marRight w:val="0"/>
          <w:marTop w:val="0"/>
          <w:marBottom w:val="0"/>
          <w:divBdr>
            <w:top w:val="none" w:sz="0" w:space="0" w:color="auto"/>
            <w:left w:val="none" w:sz="0" w:space="0" w:color="auto"/>
            <w:bottom w:val="none" w:sz="0" w:space="0" w:color="auto"/>
            <w:right w:val="none" w:sz="0" w:space="0" w:color="auto"/>
          </w:divBdr>
          <w:divsChild>
            <w:div w:id="1186675051">
              <w:marLeft w:val="0"/>
              <w:marRight w:val="0"/>
              <w:marTop w:val="0"/>
              <w:marBottom w:val="0"/>
              <w:divBdr>
                <w:top w:val="none" w:sz="0" w:space="0" w:color="auto"/>
                <w:left w:val="none" w:sz="0" w:space="0" w:color="auto"/>
                <w:bottom w:val="none" w:sz="0" w:space="0" w:color="auto"/>
                <w:right w:val="none" w:sz="0" w:space="0" w:color="auto"/>
              </w:divBdr>
              <w:divsChild>
                <w:div w:id="12399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2407">
      <w:bodyDiv w:val="1"/>
      <w:marLeft w:val="0"/>
      <w:marRight w:val="0"/>
      <w:marTop w:val="0"/>
      <w:marBottom w:val="0"/>
      <w:divBdr>
        <w:top w:val="none" w:sz="0" w:space="0" w:color="auto"/>
        <w:left w:val="none" w:sz="0" w:space="0" w:color="auto"/>
        <w:bottom w:val="none" w:sz="0" w:space="0" w:color="auto"/>
        <w:right w:val="none" w:sz="0" w:space="0" w:color="auto"/>
      </w:divBdr>
    </w:div>
    <w:div w:id="1866288316">
      <w:bodyDiv w:val="1"/>
      <w:marLeft w:val="0"/>
      <w:marRight w:val="0"/>
      <w:marTop w:val="0"/>
      <w:marBottom w:val="0"/>
      <w:divBdr>
        <w:top w:val="none" w:sz="0" w:space="0" w:color="auto"/>
        <w:left w:val="none" w:sz="0" w:space="0" w:color="auto"/>
        <w:bottom w:val="none" w:sz="0" w:space="0" w:color="auto"/>
        <w:right w:val="none" w:sz="0" w:space="0" w:color="auto"/>
      </w:divBdr>
    </w:div>
    <w:div w:id="1932816236">
      <w:bodyDiv w:val="1"/>
      <w:marLeft w:val="0"/>
      <w:marRight w:val="0"/>
      <w:marTop w:val="0"/>
      <w:marBottom w:val="0"/>
      <w:divBdr>
        <w:top w:val="none" w:sz="0" w:space="0" w:color="auto"/>
        <w:left w:val="none" w:sz="0" w:space="0" w:color="auto"/>
        <w:bottom w:val="none" w:sz="0" w:space="0" w:color="auto"/>
        <w:right w:val="none" w:sz="0" w:space="0" w:color="auto"/>
      </w:divBdr>
    </w:div>
    <w:div w:id="1943537683">
      <w:bodyDiv w:val="1"/>
      <w:marLeft w:val="0"/>
      <w:marRight w:val="0"/>
      <w:marTop w:val="0"/>
      <w:marBottom w:val="0"/>
      <w:divBdr>
        <w:top w:val="none" w:sz="0" w:space="0" w:color="auto"/>
        <w:left w:val="none" w:sz="0" w:space="0" w:color="auto"/>
        <w:bottom w:val="none" w:sz="0" w:space="0" w:color="auto"/>
        <w:right w:val="none" w:sz="0" w:space="0" w:color="auto"/>
      </w:divBdr>
    </w:div>
    <w:div w:id="1986276877">
      <w:bodyDiv w:val="1"/>
      <w:marLeft w:val="0"/>
      <w:marRight w:val="0"/>
      <w:marTop w:val="0"/>
      <w:marBottom w:val="0"/>
      <w:divBdr>
        <w:top w:val="none" w:sz="0" w:space="0" w:color="auto"/>
        <w:left w:val="none" w:sz="0" w:space="0" w:color="auto"/>
        <w:bottom w:val="none" w:sz="0" w:space="0" w:color="auto"/>
        <w:right w:val="none" w:sz="0" w:space="0" w:color="auto"/>
      </w:divBdr>
      <w:divsChild>
        <w:div w:id="226577890">
          <w:marLeft w:val="0"/>
          <w:marRight w:val="0"/>
          <w:marTop w:val="0"/>
          <w:marBottom w:val="0"/>
          <w:divBdr>
            <w:top w:val="none" w:sz="0" w:space="0" w:color="auto"/>
            <w:left w:val="none" w:sz="0" w:space="0" w:color="auto"/>
            <w:bottom w:val="none" w:sz="0" w:space="0" w:color="auto"/>
            <w:right w:val="none" w:sz="0" w:space="0" w:color="auto"/>
          </w:divBdr>
        </w:div>
        <w:div w:id="1775587170">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2067605516">
      <w:bodyDiv w:val="1"/>
      <w:marLeft w:val="0"/>
      <w:marRight w:val="0"/>
      <w:marTop w:val="0"/>
      <w:marBottom w:val="0"/>
      <w:divBdr>
        <w:top w:val="none" w:sz="0" w:space="0" w:color="auto"/>
        <w:left w:val="none" w:sz="0" w:space="0" w:color="auto"/>
        <w:bottom w:val="none" w:sz="0" w:space="0" w:color="auto"/>
        <w:right w:val="none" w:sz="0" w:space="0" w:color="auto"/>
      </w:divBdr>
    </w:div>
    <w:div w:id="2084254212">
      <w:bodyDiv w:val="1"/>
      <w:marLeft w:val="0"/>
      <w:marRight w:val="0"/>
      <w:marTop w:val="0"/>
      <w:marBottom w:val="0"/>
      <w:divBdr>
        <w:top w:val="none" w:sz="0" w:space="0" w:color="auto"/>
        <w:left w:val="none" w:sz="0" w:space="0" w:color="auto"/>
        <w:bottom w:val="none" w:sz="0" w:space="0" w:color="auto"/>
        <w:right w:val="none" w:sz="0" w:space="0" w:color="auto"/>
      </w:divBdr>
      <w:divsChild>
        <w:div w:id="1274245904">
          <w:marLeft w:val="0"/>
          <w:marRight w:val="0"/>
          <w:marTop w:val="0"/>
          <w:marBottom w:val="0"/>
          <w:divBdr>
            <w:top w:val="single" w:sz="6" w:space="0" w:color="5B616B"/>
            <w:left w:val="single" w:sz="6" w:space="0" w:color="5B616B"/>
            <w:bottom w:val="single" w:sz="6" w:space="0" w:color="5B616B"/>
            <w:right w:val="single" w:sz="6" w:space="0" w:color="5B616B"/>
          </w:divBdr>
        </w:div>
        <w:div w:id="1407923057">
          <w:marLeft w:val="0"/>
          <w:marRight w:val="0"/>
          <w:marTop w:val="0"/>
          <w:marBottom w:val="0"/>
          <w:divBdr>
            <w:top w:val="none" w:sz="0" w:space="0" w:color="auto"/>
            <w:left w:val="none" w:sz="0" w:space="0" w:color="auto"/>
            <w:bottom w:val="none" w:sz="0" w:space="0" w:color="auto"/>
            <w:right w:val="none" w:sz="0" w:space="0" w:color="auto"/>
          </w:divBdr>
        </w:div>
      </w:divsChild>
    </w:div>
    <w:div w:id="2087679229">
      <w:bodyDiv w:val="1"/>
      <w:marLeft w:val="0"/>
      <w:marRight w:val="0"/>
      <w:marTop w:val="0"/>
      <w:marBottom w:val="0"/>
      <w:divBdr>
        <w:top w:val="none" w:sz="0" w:space="0" w:color="auto"/>
        <w:left w:val="none" w:sz="0" w:space="0" w:color="auto"/>
        <w:bottom w:val="none" w:sz="0" w:space="0" w:color="auto"/>
        <w:right w:val="none" w:sz="0" w:space="0" w:color="auto"/>
      </w:divBdr>
    </w:div>
    <w:div w:id="2095082982">
      <w:bodyDiv w:val="1"/>
      <w:marLeft w:val="0"/>
      <w:marRight w:val="0"/>
      <w:marTop w:val="0"/>
      <w:marBottom w:val="0"/>
      <w:divBdr>
        <w:top w:val="none" w:sz="0" w:space="0" w:color="auto"/>
        <w:left w:val="none" w:sz="0" w:space="0" w:color="auto"/>
        <w:bottom w:val="none" w:sz="0" w:space="0" w:color="auto"/>
        <w:right w:val="none" w:sz="0" w:space="0" w:color="auto"/>
      </w:divBdr>
      <w:divsChild>
        <w:div w:id="1227296932">
          <w:marLeft w:val="0"/>
          <w:marRight w:val="0"/>
          <w:marTop w:val="0"/>
          <w:marBottom w:val="0"/>
          <w:divBdr>
            <w:top w:val="none" w:sz="0" w:space="0" w:color="auto"/>
            <w:left w:val="none" w:sz="0" w:space="0" w:color="auto"/>
            <w:bottom w:val="none" w:sz="0" w:space="0" w:color="auto"/>
            <w:right w:val="none" w:sz="0" w:space="0" w:color="auto"/>
          </w:divBdr>
          <w:divsChild>
            <w:div w:id="1100956445">
              <w:marLeft w:val="0"/>
              <w:marRight w:val="0"/>
              <w:marTop w:val="0"/>
              <w:marBottom w:val="0"/>
              <w:divBdr>
                <w:top w:val="none" w:sz="0" w:space="0" w:color="auto"/>
                <w:left w:val="none" w:sz="0" w:space="0" w:color="auto"/>
                <w:bottom w:val="none" w:sz="0" w:space="0" w:color="auto"/>
                <w:right w:val="none" w:sz="0" w:space="0" w:color="auto"/>
              </w:divBdr>
              <w:divsChild>
                <w:div w:id="3166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D0BCAE193698488770CC9607C9F7D8" ma:contentTypeVersion="11" ma:contentTypeDescription="Create a new document." ma:contentTypeScope="" ma:versionID="151b60fe2bf39d0598a8fa1c2d77ab9d">
  <xsd:schema xmlns:xsd="http://www.w3.org/2001/XMLSchema" xmlns:xs="http://www.w3.org/2001/XMLSchema" xmlns:p="http://schemas.microsoft.com/office/2006/metadata/properties" xmlns:ns2="1f0c3ed3-a6cf-4c7d-b01b-cc8d899a6247" xmlns:ns3="f46ad185-d85d-425e-a013-e9b99bc40c0a" targetNamespace="http://schemas.microsoft.com/office/2006/metadata/properties" ma:root="true" ma:fieldsID="788a1d0a79639714a10567705c02dfa9" ns2:_="" ns3:_="">
    <xsd:import namespace="1f0c3ed3-a6cf-4c7d-b01b-cc8d899a6247"/>
    <xsd:import namespace="f46ad185-d85d-425e-a013-e9b99bc40c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c3ed3-a6cf-4c7d-b01b-cc8d899a6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ad185-d85d-425e-a013-e9b99bc40c0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A9A30-8D16-4FC0-BE58-FE14679213C6}">
  <ds:schemaRefs>
    <ds:schemaRef ds:uri="http://purl.org/dc/dcmitype/"/>
    <ds:schemaRef ds:uri="http://purl.org/dc/terms/"/>
    <ds:schemaRef ds:uri="f46ad185-d85d-425e-a013-e9b99bc40c0a"/>
    <ds:schemaRef ds:uri="http://www.w3.org/XML/1998/namespace"/>
    <ds:schemaRef ds:uri="http://purl.org/dc/elements/1.1/"/>
    <ds:schemaRef ds:uri="1f0c3ed3-a6cf-4c7d-b01b-cc8d899a6247"/>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855752A-FAF2-4676-8585-0B234F3E2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c3ed3-a6cf-4c7d-b01b-cc8d899a6247"/>
    <ds:schemaRef ds:uri="f46ad185-d85d-425e-a013-e9b99bc40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598FCA-A726-45B8-8074-FC0DA8B75D29}">
  <ds:schemaRefs>
    <ds:schemaRef ds:uri="http://schemas.microsoft.com/sharepoint/v3/contenttype/forms"/>
  </ds:schemaRefs>
</ds:datastoreItem>
</file>

<file path=customXml/itemProps4.xml><?xml version="1.0" encoding="utf-8"?>
<ds:datastoreItem xmlns:ds="http://schemas.openxmlformats.org/officeDocument/2006/customXml" ds:itemID="{662B0441-D58F-4AF8-85BB-9601E49A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19716</Words>
  <Characters>112385</Characters>
  <Application>Microsoft Office Word</Application>
  <DocSecurity>4</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Dwyer</dc:creator>
  <cp:keywords/>
  <dc:description/>
  <cp:lastModifiedBy>Olden, Carl</cp:lastModifiedBy>
  <cp:revision>2</cp:revision>
  <dcterms:created xsi:type="dcterms:W3CDTF">2021-02-09T16:10:00Z</dcterms:created>
  <dcterms:modified xsi:type="dcterms:W3CDTF">2021-02-09T16:10:00Z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0x010100BCD0BCAE193698488770CC9607C9F7D8</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154ee38f-295b-381d-acad-ec6762c4ecc2</vt:lpwstr>
  </property>
  <property fmtid="{D5CDD505-2E9C-101B-9397-08002B2CF9AE}" pid="25" name="Mendeley Citation Style_1">
    <vt:lpwstr>http://www.zotero.org/styles/american-medical-association</vt:lpwstr>
  </property>
</Properties>
</file>